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585A" w14:textId="1E80D433" w:rsidR="00C01834" w:rsidRPr="00AD2F54" w:rsidRDefault="00C92ECE" w:rsidP="00C92ECE">
      <w:pPr>
        <w:spacing w:after="34" w:line="253" w:lineRule="auto"/>
        <w:ind w:left="0" w:right="1015" w:firstLine="0"/>
        <w:rPr>
          <w:rFonts w:ascii="Calibri Light" w:hAnsi="Calibri Light" w:cs="Calibri Light"/>
          <w:color w:val="auto"/>
          <w:sz w:val="32"/>
          <w:szCs w:val="32"/>
        </w:rPr>
      </w:pPr>
      <w:r w:rsidRPr="00C92ECE">
        <w:rPr>
          <w:rFonts w:ascii="Calibri Light" w:hAnsi="Calibri Light" w:cs="Calibri Light"/>
          <w:noProof/>
          <w:color w:val="auto"/>
          <w:sz w:val="32"/>
          <w:szCs w:val="32"/>
        </w:rPr>
        <mc:AlternateContent>
          <mc:Choice Requires="wps">
            <w:drawing>
              <wp:anchor distT="45720" distB="45720" distL="114300" distR="114300" simplePos="0" relativeHeight="251659264" behindDoc="0" locked="0" layoutInCell="1" allowOverlap="1" wp14:anchorId="04190EDF" wp14:editId="064FB4A7">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2E017E52" w14:textId="11D8FDEF" w:rsidR="00C92ECE" w:rsidRPr="00900EC6" w:rsidRDefault="00893A43">
                            <w:pPr>
                              <w:rPr>
                                <w:b/>
                                <w:bCs/>
                              </w:rPr>
                            </w:pPr>
                            <w:r>
                              <w:rPr>
                                <w:rFonts w:ascii="Times New Roman" w:hAnsi="Times New Roman"/>
                                <w:sz w:val="24"/>
                                <w:szCs w:val="24"/>
                              </w:rPr>
                              <w:t>Practical aspects of clinical and radiological anatomy of teeth in modern endodontics.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margin-left:130pt;margin-top:30.15pt;width:328.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">
                <v:textbox>
                  <w:txbxContent>
                    <w:p w14:paraId="2E017E52" w14:textId="11D8FDEF" w:rsidR="00C92ECE" w:rsidRPr="00900EC6" w:rsidRDefault="00893A43">
                      <w:pPr>
                        <w:rPr>
                          <w:b/>
                          <w:bCs/>
                        </w:rPr>
                      </w:pPr>
                      <w:r>
                        <w:rPr>
                          <w:rFonts w:ascii="Times New Roman" w:hAnsi="Times New Roman"/>
                          <w:sz w:val="24"/>
                          <w:szCs w:val="24"/>
                        </w:rPr>
                        <w:t>Practical aspects of clinical and radiological anatomy of teeth in modern endodontics.</w:t>
                      </w:r>
                    </w:p>
                  </w:txbxContent>
                </v:textbox>
                <w10:wrap type="square"/>
              </v:shape>
            </w:pict>
          </mc:Fallback>
        </mc:AlternateContent>
      </w:r>
      <w:r>
        <w:rPr>
          <w:rFonts w:ascii="Calibri Light" w:hAnsi="Calibri Light" w:cs="Calibri Light"/>
          <w:noProof/>
          <w:color w:val="auto"/>
          <w:sz w:val="32"/>
          <w:szCs w:val="32"/>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49E341B5" w:rsidR="00BF2E2D" w:rsidRPr="00C01834" w:rsidRDefault="00893A43" w:rsidP="00D773DA">
            <w:pPr>
              <w:spacing w:after="0" w:line="259" w:lineRule="auto"/>
              <w:ind w:left="0" w:firstLine="0"/>
              <w:rPr>
                <w:color w:val="auto"/>
              </w:rPr>
            </w:pPr>
            <w:r>
              <w:rPr>
                <w:color w:val="auto"/>
              </w:rPr>
              <w:t>2020/2021</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53CBCB4"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Department Comprehensive Dentistry</w:t>
            </w:r>
          </w:p>
          <w:p w14:paraId="561FF259"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Medical University of Warsaw</w:t>
            </w:r>
          </w:p>
          <w:p w14:paraId="22A11993"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Binieckiego 6,</w:t>
            </w:r>
          </w:p>
          <w:p w14:paraId="195EDCB2"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02-096 Warszawa</w:t>
            </w:r>
          </w:p>
          <w:p w14:paraId="6745464B" w14:textId="77777777" w:rsidR="00893A43" w:rsidRDefault="00893A43" w:rsidP="00893A43">
            <w:pPr>
              <w:pStyle w:val="Nagwek4"/>
              <w:outlineLvl w:val="3"/>
              <w:rPr>
                <w:rFonts w:ascii="Times New Roman" w:eastAsia="Times New Roman" w:hAnsi="Times New Roman" w:cs="Times New Roman"/>
                <w:sz w:val="24"/>
                <w:szCs w:val="24"/>
              </w:rPr>
            </w:pPr>
          </w:p>
          <w:p w14:paraId="67A69CD6"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 xml:space="preserve">Department of Dental and Maxillofacial Radiology, </w:t>
            </w:r>
          </w:p>
          <w:p w14:paraId="7DDBA5AA"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Medical University of Warsaw</w:t>
            </w:r>
          </w:p>
          <w:p w14:paraId="6E6F687C"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 xml:space="preserve">Binieckiego 6 </w:t>
            </w:r>
          </w:p>
          <w:p w14:paraId="43085575"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02-096 Warszawa – 3 h</w:t>
            </w:r>
          </w:p>
          <w:p w14:paraId="31C33F73" w14:textId="77777777" w:rsidR="00893A43" w:rsidRDefault="00893A43" w:rsidP="00893A43">
            <w:pPr>
              <w:pStyle w:val="Nagwek4"/>
              <w:outlineLvl w:val="3"/>
              <w:rPr>
                <w:rFonts w:ascii="Times New Roman" w:eastAsia="Times New Roman" w:hAnsi="Times New Roman" w:cs="Times New Roman"/>
                <w:sz w:val="24"/>
                <w:szCs w:val="24"/>
              </w:rPr>
            </w:pPr>
          </w:p>
          <w:p w14:paraId="2A65DF5E"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Department of Pedodontics</w:t>
            </w:r>
          </w:p>
          <w:p w14:paraId="2136E2A8"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hAnsi="Times New Roman"/>
                <w:sz w:val="24"/>
                <w:szCs w:val="24"/>
              </w:rPr>
              <w:t>Medical University of Warsaw</w:t>
            </w:r>
          </w:p>
          <w:p w14:paraId="51A201C6" w14:textId="77777777" w:rsidR="00893A43" w:rsidRDefault="00893A43" w:rsidP="00893A43">
            <w:pPr>
              <w:pStyle w:val="Nagwek4"/>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Binieckiego 6</w:t>
            </w:r>
          </w:p>
          <w:p w14:paraId="3AF69107" w14:textId="4F2AF25A" w:rsidR="00BF2E2D" w:rsidRPr="00C01834" w:rsidRDefault="00893A43" w:rsidP="00893A43">
            <w:pPr>
              <w:spacing w:after="0" w:line="259" w:lineRule="auto"/>
              <w:ind w:left="0" w:firstLine="0"/>
              <w:rPr>
                <w:color w:val="auto"/>
              </w:rPr>
            </w:pPr>
            <w:r>
              <w:rPr>
                <w:rFonts w:ascii="Times New Roman" w:hAnsi="Times New Roman"/>
                <w:sz w:val="24"/>
                <w:szCs w:val="24"/>
              </w:rPr>
              <w:t>02-096 Warszawa - 3 h</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00AC1293" w:rsidR="00BF2E2D" w:rsidRPr="00C01834" w:rsidRDefault="00893A43" w:rsidP="00D773DA">
            <w:pPr>
              <w:spacing w:after="0" w:line="259" w:lineRule="auto"/>
              <w:ind w:left="0" w:firstLine="0"/>
              <w:rPr>
                <w:color w:val="auto"/>
              </w:rPr>
            </w:pPr>
            <w:r>
              <w:t>Medical and dental direction</w:t>
            </w:r>
          </w:p>
        </w:tc>
      </w:tr>
      <w:tr w:rsidR="00C01834" w:rsidRPr="00C01834"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C01834" w:rsidRDefault="00BF2E2D" w:rsidP="00EB2991">
            <w:pPr>
              <w:spacing w:after="0" w:line="259" w:lineRule="auto"/>
              <w:ind w:left="0" w:right="-351" w:firstLine="0"/>
              <w:rPr>
                <w:b/>
                <w:color w:val="auto"/>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537BB7C9" w:rsidR="00C01834" w:rsidRPr="00C01834" w:rsidRDefault="00893A43" w:rsidP="00D773DA">
            <w:pPr>
              <w:spacing w:after="0" w:line="259" w:lineRule="auto"/>
              <w:ind w:left="0" w:right="-351" w:firstLine="0"/>
              <w:rPr>
                <w:b/>
                <w:color w:val="auto"/>
              </w:rPr>
            </w:pPr>
            <w:r>
              <w:t>Medical science</w:t>
            </w:r>
          </w:p>
        </w:tc>
      </w:tr>
      <w:tr w:rsidR="00673EC8" w:rsidRPr="00C01834"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C01834" w:rsidRDefault="00673EC8" w:rsidP="00D773DA">
            <w:pPr>
              <w:spacing w:after="0" w:line="259" w:lineRule="auto"/>
              <w:ind w:left="0" w:firstLine="0"/>
              <w:rPr>
                <w:color w:val="auto"/>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0FA6233C" w:rsidR="00673EC8" w:rsidRPr="00C01834" w:rsidRDefault="00893A43" w:rsidP="00D773DA">
            <w:pPr>
              <w:spacing w:after="0" w:line="259" w:lineRule="auto"/>
              <w:ind w:left="0" w:firstLine="0"/>
              <w:rPr>
                <w:color w:val="auto"/>
              </w:rPr>
            </w:pPr>
            <w:r>
              <w:t>Generally academic</w:t>
            </w:r>
          </w:p>
        </w:tc>
      </w:tr>
      <w:tr w:rsidR="00673EC8" w:rsidRPr="00C01834"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C01834" w:rsidRDefault="00673EC8" w:rsidP="00D773DA">
            <w:pPr>
              <w:spacing w:after="0" w:line="259" w:lineRule="auto"/>
              <w:ind w:left="0" w:firstLine="0"/>
              <w:rPr>
                <w:color w:val="auto"/>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4C4678F4" w:rsidR="00673EC8" w:rsidRPr="00C01834" w:rsidRDefault="00893A43" w:rsidP="00D773DA">
            <w:pPr>
              <w:spacing w:after="0" w:line="259" w:lineRule="auto"/>
              <w:ind w:left="0" w:firstLine="0"/>
              <w:rPr>
                <w:color w:val="auto"/>
              </w:rPr>
            </w:pPr>
            <w:r>
              <w:rPr>
                <w:color w:val="auto"/>
              </w:rPr>
              <w:t>II-IV</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lastRenderedPageBreak/>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469B07CD" w:rsidR="004808E4" w:rsidRPr="00893A43" w:rsidRDefault="00893A43" w:rsidP="00D773DA">
            <w:pPr>
              <w:spacing w:after="0" w:line="259" w:lineRule="auto"/>
              <w:ind w:left="0" w:firstLine="0"/>
              <w:rPr>
                <w:color w:val="auto"/>
              </w:rPr>
            </w:pPr>
            <w:r w:rsidRPr="00893A43">
              <w:rPr>
                <w:color w:val="auto"/>
              </w:rPr>
              <w:t>Optional course</w:t>
            </w:r>
          </w:p>
        </w:tc>
      </w:tr>
      <w:tr w:rsidR="004808E4" w:rsidRPr="00C01834"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C01834" w:rsidRDefault="007C6AED" w:rsidP="007C6AED">
            <w:pPr>
              <w:spacing w:after="0" w:line="259" w:lineRule="auto"/>
              <w:ind w:left="0" w:firstLine="0"/>
              <w:rPr>
                <w:b/>
                <w:color w:val="auto"/>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291E299D" w:rsidR="004808E4" w:rsidRPr="00D66427" w:rsidRDefault="00893A43" w:rsidP="00A63CE6">
            <w:pPr>
              <w:spacing w:after="0" w:line="259" w:lineRule="auto"/>
              <w:ind w:left="0" w:firstLine="0"/>
              <w:rPr>
                <w:b/>
                <w:color w:val="auto"/>
              </w:rPr>
            </w:pPr>
            <w:r w:rsidRPr="00D66427">
              <w:rPr>
                <w:iCs/>
                <w:color w:val="auto"/>
                <w:sz w:val="16"/>
                <w:szCs w:val="20"/>
                <w:lang w:val="en-US"/>
              </w:rPr>
              <w:t>non-compulsory)</w:t>
            </w:r>
          </w:p>
        </w:tc>
      </w:tr>
      <w:tr w:rsidR="00004687" w:rsidRPr="00C01834"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C01834" w:rsidRDefault="00004687" w:rsidP="00F403C0">
            <w:pPr>
              <w:spacing w:after="0" w:line="259" w:lineRule="auto"/>
              <w:ind w:left="0" w:firstLine="0"/>
              <w:rPr>
                <w:b/>
                <w:color w:val="auto"/>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052F3DF0" w:rsidR="00004687" w:rsidRPr="00D66427" w:rsidRDefault="00893A43" w:rsidP="00A63CE6">
            <w:pPr>
              <w:spacing w:after="0" w:line="259" w:lineRule="auto"/>
              <w:ind w:left="0" w:firstLine="0"/>
              <w:rPr>
                <w:color w:val="auto"/>
              </w:rPr>
            </w:pPr>
            <w:r w:rsidRPr="00D66427">
              <w:rPr>
                <w:color w:val="auto"/>
              </w:rPr>
              <w:t>completion</w:t>
            </w:r>
          </w:p>
        </w:tc>
      </w:tr>
      <w:tr w:rsidR="00004687" w:rsidRPr="00C01834"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C01834" w:rsidRDefault="00004687" w:rsidP="00A63CE6">
            <w:pPr>
              <w:spacing w:after="0" w:line="259" w:lineRule="auto"/>
              <w:ind w:left="0" w:firstLine="0"/>
              <w:rPr>
                <w:b/>
                <w:color w:val="auto"/>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12ED3B2"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Department Comprehensive Dentistry</w:t>
            </w:r>
          </w:p>
          <w:p w14:paraId="2C7C584A"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Medical University of Warsaw</w:t>
            </w:r>
          </w:p>
          <w:p w14:paraId="3953D5D7"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eastAsia="Times New Roman" w:hAnsi="Times New Roman" w:cs="Times New Roman"/>
                <w:i w:val="0"/>
                <w:color w:val="auto"/>
                <w:sz w:val="24"/>
                <w:szCs w:val="24"/>
              </w:rPr>
              <w:t>Binieckiego 6,</w:t>
            </w:r>
          </w:p>
          <w:p w14:paraId="603F7378"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eastAsia="Times New Roman" w:hAnsi="Times New Roman" w:cs="Times New Roman"/>
                <w:i w:val="0"/>
                <w:color w:val="auto"/>
                <w:sz w:val="24"/>
                <w:szCs w:val="24"/>
              </w:rPr>
              <w:t>02-096 Warszawa</w:t>
            </w:r>
          </w:p>
          <w:p w14:paraId="7D3D9EAD"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p>
          <w:p w14:paraId="3FFD5C1E"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 xml:space="preserve">Department of Dental and Maxillofacial Radiology, </w:t>
            </w:r>
          </w:p>
          <w:p w14:paraId="75C3BBBE"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Medical University of Warsaw</w:t>
            </w:r>
          </w:p>
          <w:p w14:paraId="710667D9"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 xml:space="preserve">Binieckiego 6 </w:t>
            </w:r>
          </w:p>
          <w:p w14:paraId="1DCAEB8B"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02-096 Warszawa – 3 h</w:t>
            </w:r>
          </w:p>
          <w:p w14:paraId="0CBAE2C8"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p>
          <w:p w14:paraId="789AB75E"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Department of Pedodontics</w:t>
            </w:r>
          </w:p>
          <w:p w14:paraId="62799180"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hAnsi="Times New Roman"/>
                <w:i w:val="0"/>
                <w:color w:val="auto"/>
                <w:sz w:val="24"/>
                <w:szCs w:val="24"/>
              </w:rPr>
              <w:t>Medical University of Warsaw</w:t>
            </w:r>
          </w:p>
          <w:p w14:paraId="6CCFBB2E" w14:textId="77777777" w:rsidR="00893A43" w:rsidRPr="00D66427" w:rsidRDefault="00893A43" w:rsidP="00893A43">
            <w:pPr>
              <w:pStyle w:val="Nagwek4"/>
              <w:outlineLvl w:val="3"/>
              <w:rPr>
                <w:rFonts w:ascii="Times New Roman" w:eastAsia="Times New Roman" w:hAnsi="Times New Roman" w:cs="Times New Roman"/>
                <w:i w:val="0"/>
                <w:color w:val="auto"/>
                <w:sz w:val="24"/>
                <w:szCs w:val="24"/>
              </w:rPr>
            </w:pPr>
            <w:r w:rsidRPr="00D66427">
              <w:rPr>
                <w:rFonts w:ascii="Times New Roman" w:eastAsia="Times New Roman" w:hAnsi="Times New Roman" w:cs="Times New Roman"/>
                <w:i w:val="0"/>
                <w:color w:val="auto"/>
                <w:sz w:val="24"/>
                <w:szCs w:val="24"/>
              </w:rPr>
              <w:t>Binieckiego 6</w:t>
            </w:r>
          </w:p>
          <w:p w14:paraId="3685F30C" w14:textId="784CD230" w:rsidR="00004687" w:rsidRPr="00D66427" w:rsidRDefault="00893A43" w:rsidP="00893A43">
            <w:pPr>
              <w:spacing w:after="0" w:line="259" w:lineRule="auto"/>
              <w:ind w:left="0" w:firstLine="0"/>
              <w:rPr>
                <w:color w:val="auto"/>
              </w:rPr>
            </w:pPr>
            <w:r w:rsidRPr="00D66427">
              <w:rPr>
                <w:rFonts w:ascii="Times New Roman" w:hAnsi="Times New Roman"/>
                <w:color w:val="auto"/>
                <w:sz w:val="24"/>
                <w:szCs w:val="24"/>
              </w:rPr>
              <w:t>02-096 Warszawa - 3 h</w:t>
            </w:r>
          </w:p>
        </w:tc>
      </w:tr>
      <w:tr w:rsidR="00004687" w:rsidRPr="00C01834"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C01834" w:rsidRDefault="00436457" w:rsidP="00A63CE6">
            <w:pPr>
              <w:spacing w:after="0" w:line="259" w:lineRule="auto"/>
              <w:ind w:left="0" w:firstLine="0"/>
              <w:rPr>
                <w:b/>
                <w:color w:val="auto"/>
              </w:rPr>
            </w:pPr>
            <w:r>
              <w:rPr>
                <w:b/>
                <w:color w:val="auto"/>
                <w:lang w:val="en-US"/>
              </w:rPr>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5BA733C" w14:textId="77777777" w:rsidR="00893A43" w:rsidRPr="00893A43" w:rsidRDefault="00893A43" w:rsidP="00893A43">
            <w:pPr>
              <w:pBdr>
                <w:top w:val="nil"/>
                <w:left w:val="nil"/>
                <w:bottom w:val="nil"/>
                <w:right w:val="nil"/>
                <w:between w:val="nil"/>
                <w:bar w:val="nil"/>
              </w:pBdr>
              <w:spacing w:after="0" w:line="240" w:lineRule="auto"/>
              <w:ind w:left="0" w:firstLine="0"/>
              <w:outlineLvl w:val="3"/>
              <w:rPr>
                <w:rFonts w:ascii="Times New Roman" w:hAnsi="Times New Roman"/>
                <w:sz w:val="24"/>
                <w:szCs w:val="24"/>
                <w:u w:color="000000"/>
                <w:bdr w:val="nil"/>
                <w:lang w:val="en-US"/>
              </w:rPr>
            </w:pPr>
            <w:r w:rsidRPr="00893A43">
              <w:rPr>
                <w:rFonts w:ascii="Times New Roman" w:hAnsi="Times New Roman"/>
                <w:sz w:val="24"/>
                <w:szCs w:val="24"/>
                <w:u w:color="000000"/>
                <w:bdr w:val="nil"/>
                <w:lang w:val="en-US"/>
              </w:rPr>
              <w:t>Associate Professor Izabela Strużycka DMD, PhD &lt;izabela.struzycka@wum.edu.pl&gt;,</w:t>
            </w:r>
          </w:p>
          <w:p w14:paraId="7F7E5DFB" w14:textId="5C7BD996" w:rsidR="00004687" w:rsidRPr="00893A43" w:rsidRDefault="00893A43" w:rsidP="00893A43">
            <w:pPr>
              <w:pBdr>
                <w:top w:val="nil"/>
                <w:left w:val="nil"/>
                <w:bottom w:val="nil"/>
                <w:right w:val="nil"/>
                <w:between w:val="nil"/>
                <w:bar w:val="nil"/>
              </w:pBdr>
              <w:spacing w:after="0" w:line="240" w:lineRule="auto"/>
              <w:ind w:left="0" w:firstLine="0"/>
              <w:outlineLvl w:val="3"/>
              <w:rPr>
                <w:rFonts w:ascii="Times New Roman" w:hAnsi="Times New Roman"/>
                <w:sz w:val="24"/>
                <w:szCs w:val="24"/>
                <w:u w:color="000000"/>
                <w:bdr w:val="nil"/>
                <w:lang w:val="en-US"/>
              </w:rPr>
            </w:pPr>
            <w:r w:rsidRPr="00893A43">
              <w:rPr>
                <w:rFonts w:ascii="Times New Roman" w:hAnsi="Times New Roman"/>
                <w:sz w:val="24"/>
                <w:szCs w:val="24"/>
                <w:u w:color="000000"/>
                <w:bdr w:val="nil"/>
                <w:lang w:val="en-US"/>
              </w:rPr>
              <w:t>Professor Kazimierz Szopiński &lt;kazimierz.szopinski@wum.edu.pl&gt;, ,</w:t>
            </w:r>
            <w:r w:rsidRPr="00893A43">
              <w:rPr>
                <w:rFonts w:ascii="Times New Roman" w:eastAsia="Times New Roman" w:hAnsi="Times New Roman" w:cs="Times New Roman"/>
                <w:sz w:val="24"/>
                <w:szCs w:val="24"/>
                <w:u w:color="000000"/>
                <w:bdr w:val="nil"/>
              </w:rPr>
              <w:t>Professor Dorota Olczak-Kowalczyk &lt;dorota.olczak-kowalczyk@wum.edu.pl&gt;,</w:t>
            </w:r>
          </w:p>
        </w:tc>
      </w:tr>
      <w:tr w:rsidR="00004687" w:rsidRPr="00C01834"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Default="00004687" w:rsidP="00A63CE6">
            <w:pPr>
              <w:spacing w:after="0" w:line="259" w:lineRule="auto"/>
              <w:ind w:left="0" w:firstLine="0"/>
              <w:rPr>
                <w:b/>
                <w:color w:val="auto"/>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975D70" w14:textId="1D7A42C2" w:rsidR="00004687" w:rsidRPr="00C01834" w:rsidRDefault="00893A43" w:rsidP="00A63CE6">
            <w:pPr>
              <w:spacing w:after="0" w:line="259" w:lineRule="auto"/>
              <w:ind w:left="0" w:firstLine="0"/>
              <w:rPr>
                <w:b/>
                <w:color w:val="auto"/>
              </w:rPr>
            </w:pPr>
            <w:r w:rsidRPr="00893A43">
              <w:rPr>
                <w:rFonts w:ascii="Times New Roman" w:hAnsi="Times New Roman"/>
                <w:sz w:val="24"/>
                <w:szCs w:val="24"/>
                <w:u w:color="000000"/>
                <w:bdr w:val="nil"/>
                <w:lang w:val="en-US"/>
              </w:rPr>
              <w:t>Associate Professor Izabela Strużycka DMD, PhD &lt;izabela.struzycka@wum.edu.pl</w:t>
            </w:r>
          </w:p>
        </w:tc>
      </w:tr>
      <w:tr w:rsidR="00004687" w:rsidRPr="00C01834"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C01834" w:rsidRDefault="00004687" w:rsidP="00A63CE6">
            <w:pPr>
              <w:spacing w:after="0" w:line="259" w:lineRule="auto"/>
              <w:ind w:left="0" w:firstLine="0"/>
              <w:rPr>
                <w:b/>
                <w:color w:val="auto"/>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F3E18BC" w14:textId="2388D01F" w:rsidR="00004687" w:rsidRPr="00C01834" w:rsidRDefault="00893A43" w:rsidP="00A63CE6">
            <w:pPr>
              <w:spacing w:after="0" w:line="259" w:lineRule="auto"/>
              <w:ind w:left="0" w:firstLine="0"/>
              <w:rPr>
                <w:b/>
                <w:color w:val="auto"/>
              </w:rPr>
            </w:pPr>
            <w:r w:rsidRPr="00893A43">
              <w:rPr>
                <w:rFonts w:ascii="Times New Roman" w:hAnsi="Times New Roman"/>
                <w:sz w:val="24"/>
                <w:szCs w:val="24"/>
                <w:u w:color="000000"/>
                <w:bdr w:val="nil"/>
                <w:lang w:val="en-US"/>
              </w:rPr>
              <w:t>Associate Professor Izabela Strużycka DMD, PhD &lt;izabela.struzycka@wum.edu.pl</w:t>
            </w:r>
          </w:p>
        </w:tc>
      </w:tr>
      <w:tr w:rsidR="00004687" w:rsidRPr="00C01834"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1CDD949" w14:textId="77777777" w:rsidR="00893A43" w:rsidRPr="00893A43" w:rsidRDefault="00893A43" w:rsidP="00893A43">
            <w:pPr>
              <w:pBdr>
                <w:top w:val="nil"/>
                <w:left w:val="nil"/>
                <w:bottom w:val="nil"/>
                <w:right w:val="nil"/>
                <w:between w:val="nil"/>
                <w:bar w:val="nil"/>
              </w:pBdr>
              <w:spacing w:after="0" w:line="240" w:lineRule="auto"/>
              <w:ind w:left="0" w:firstLine="0"/>
              <w:outlineLvl w:val="3"/>
              <w:rPr>
                <w:rFonts w:ascii="Times New Roman" w:eastAsia="Times New Roman" w:hAnsi="Times New Roman" w:cs="Times New Roman"/>
                <w:sz w:val="24"/>
                <w:szCs w:val="24"/>
                <w:u w:color="000000"/>
                <w:bdr w:val="nil"/>
              </w:rPr>
            </w:pPr>
            <w:bookmarkStart w:id="0" w:name="_GoBack"/>
            <w:bookmarkEnd w:id="0"/>
            <w:r w:rsidRPr="00893A43">
              <w:rPr>
                <w:rFonts w:ascii="Times New Roman" w:hAnsi="Times New Roman"/>
                <w:sz w:val="24"/>
                <w:szCs w:val="24"/>
                <w:u w:color="000000"/>
                <w:bdr w:val="nil"/>
              </w:rPr>
              <w:t>Professor Kazimierz Szopiński MD, PhD</w:t>
            </w:r>
          </w:p>
          <w:p w14:paraId="1115A38F" w14:textId="77777777" w:rsidR="00893A43" w:rsidRPr="00893A43" w:rsidRDefault="00893A43" w:rsidP="00893A43">
            <w:pPr>
              <w:pBdr>
                <w:top w:val="nil"/>
                <w:left w:val="nil"/>
                <w:bottom w:val="nil"/>
                <w:right w:val="nil"/>
                <w:between w:val="nil"/>
                <w:bar w:val="nil"/>
              </w:pBdr>
              <w:spacing w:after="0" w:line="240" w:lineRule="auto"/>
              <w:ind w:left="0" w:firstLine="0"/>
              <w:outlineLvl w:val="3"/>
              <w:rPr>
                <w:rFonts w:ascii="Times New Roman" w:eastAsia="Times New Roman" w:hAnsi="Times New Roman" w:cs="Times New Roman"/>
                <w:sz w:val="24"/>
                <w:szCs w:val="24"/>
                <w:u w:color="000000"/>
                <w:bdr w:val="nil"/>
              </w:rPr>
            </w:pPr>
            <w:r w:rsidRPr="00893A43">
              <w:rPr>
                <w:rFonts w:ascii="Times New Roman" w:hAnsi="Times New Roman"/>
                <w:sz w:val="24"/>
                <w:szCs w:val="24"/>
                <w:u w:color="000000"/>
                <w:bdr w:val="nil"/>
              </w:rPr>
              <w:t>Agnieszka Kwaśniewska DMD</w:t>
            </w:r>
          </w:p>
          <w:p w14:paraId="063056DB" w14:textId="77777777" w:rsidR="00893A43" w:rsidRPr="00893A43" w:rsidRDefault="00893A43" w:rsidP="00893A43">
            <w:pPr>
              <w:pBdr>
                <w:top w:val="nil"/>
                <w:left w:val="nil"/>
                <w:bottom w:val="nil"/>
                <w:right w:val="nil"/>
                <w:between w:val="nil"/>
                <w:bar w:val="nil"/>
              </w:pBdr>
              <w:spacing w:after="0" w:line="240" w:lineRule="auto"/>
              <w:ind w:left="0" w:firstLine="0"/>
              <w:outlineLvl w:val="3"/>
              <w:rPr>
                <w:rFonts w:ascii="Times New Roman" w:eastAsia="Times New Roman" w:hAnsi="Times New Roman" w:cs="Times New Roman"/>
                <w:sz w:val="24"/>
                <w:szCs w:val="24"/>
                <w:u w:color="000000"/>
                <w:bdr w:val="nil"/>
              </w:rPr>
            </w:pPr>
            <w:r w:rsidRPr="00893A43">
              <w:rPr>
                <w:rFonts w:ascii="Times New Roman" w:hAnsi="Times New Roman"/>
                <w:sz w:val="24"/>
                <w:szCs w:val="24"/>
                <w:u w:color="000000"/>
                <w:bdr w:val="nil"/>
              </w:rPr>
              <w:t>Piotr Regulski DMD, PhD</w:t>
            </w:r>
          </w:p>
          <w:p w14:paraId="0780C1FD" w14:textId="77777777" w:rsidR="00893A43" w:rsidRPr="00893A43" w:rsidRDefault="00893A43" w:rsidP="00893A43">
            <w:pPr>
              <w:pBdr>
                <w:top w:val="nil"/>
                <w:left w:val="nil"/>
                <w:bottom w:val="nil"/>
                <w:right w:val="nil"/>
                <w:between w:val="nil"/>
                <w:bar w:val="nil"/>
              </w:pBdr>
              <w:spacing w:after="0" w:line="240" w:lineRule="auto"/>
              <w:ind w:left="0" w:firstLine="0"/>
              <w:outlineLvl w:val="3"/>
              <w:rPr>
                <w:rFonts w:ascii="Times New Roman" w:eastAsia="Times New Roman" w:hAnsi="Times New Roman" w:cs="Times New Roman"/>
                <w:sz w:val="24"/>
                <w:szCs w:val="24"/>
                <w:u w:color="000000"/>
                <w:bdr w:val="nil"/>
              </w:rPr>
            </w:pPr>
            <w:r w:rsidRPr="00893A43">
              <w:rPr>
                <w:rFonts w:ascii="Times New Roman" w:hAnsi="Times New Roman"/>
                <w:sz w:val="24"/>
                <w:szCs w:val="24"/>
                <w:u w:color="000000"/>
                <w:bdr w:val="nil"/>
              </w:rPr>
              <w:t>Piotr Rożniatowski DMD,PhD</w:t>
            </w:r>
          </w:p>
          <w:p w14:paraId="2D0C66FD" w14:textId="719EC3C0" w:rsidR="00004687" w:rsidRPr="00C01834" w:rsidRDefault="00893A43" w:rsidP="00893A43">
            <w:pPr>
              <w:spacing w:after="0" w:line="259" w:lineRule="auto"/>
              <w:ind w:left="0" w:firstLine="0"/>
              <w:rPr>
                <w:b/>
                <w:color w:val="auto"/>
              </w:rPr>
            </w:pPr>
            <w:r w:rsidRPr="00893A43">
              <w:rPr>
                <w:rFonts w:ascii="Times New Roman" w:eastAsia="Times New Roman" w:hAnsi="Times New Roman" w:cs="Times New Roman"/>
                <w:sz w:val="24"/>
                <w:szCs w:val="24"/>
                <w:u w:color="000000"/>
                <w:bdr w:val="nil"/>
              </w:rPr>
              <w:t>Aleksandra Wawrzeńczyk DMD</w:t>
            </w:r>
          </w:p>
        </w:tc>
      </w:tr>
    </w:tbl>
    <w:p w14:paraId="6766E821" w14:textId="6B791988" w:rsidR="00C01834" w:rsidRPr="00E55362"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C01834"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C01834" w:rsidRDefault="00002CB0" w:rsidP="00D773DA">
            <w:pPr>
              <w:spacing w:after="0" w:line="259" w:lineRule="auto"/>
              <w:ind w:left="0" w:firstLine="0"/>
              <w:rPr>
                <w:color w:val="auto"/>
              </w:rPr>
            </w:pPr>
            <w:r w:rsidRPr="00CD27EC">
              <w:rPr>
                <w:b/>
                <w:color w:val="auto"/>
                <w:lang w:val="en-US"/>
              </w:rPr>
              <w:lastRenderedPageBreak/>
              <w:t xml:space="preserve">Year and semester </w:t>
            </w:r>
            <w:r w:rsidR="002170B2">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1B90AB95" w:rsidR="00C92ECE" w:rsidRPr="00C01834" w:rsidRDefault="00893A43" w:rsidP="00D773DA">
            <w:pPr>
              <w:spacing w:after="0" w:line="259" w:lineRule="auto"/>
              <w:ind w:left="0" w:firstLine="0"/>
              <w:rPr>
                <w:color w:val="auto"/>
              </w:rPr>
            </w:pPr>
            <w:r>
              <w:rPr>
                <w:szCs w:val="18"/>
              </w:rPr>
              <w:t>2 -4 year,  semester 2</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33F8E03F" w:rsidR="00C92ECE" w:rsidRPr="00C01834" w:rsidRDefault="00893A43" w:rsidP="00D773DA">
            <w:pPr>
              <w:spacing w:after="160" w:line="259" w:lineRule="auto"/>
              <w:ind w:left="0"/>
              <w:rPr>
                <w:color w:val="auto"/>
              </w:rPr>
            </w:pPr>
            <w:r>
              <w:rPr>
                <w:color w:val="auto"/>
              </w:rPr>
              <w:t>0,75</w:t>
            </w:r>
          </w:p>
        </w:tc>
      </w:tr>
      <w:tr w:rsidR="000561A5" w:rsidRPr="00C01834"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C01834"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C01834" w:rsidRDefault="000561A5" w:rsidP="00D773DA">
            <w:pPr>
              <w:spacing w:after="0" w:line="259" w:lineRule="auto"/>
              <w:ind w:left="0" w:firstLine="0"/>
              <w:rPr>
                <w:color w:val="auto"/>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C01834" w:rsidRDefault="000561A5" w:rsidP="00D773DA">
            <w:pPr>
              <w:spacing w:after="160" w:line="259" w:lineRule="auto"/>
              <w:ind w:left="0" w:firstLine="0"/>
              <w:rPr>
                <w:color w:val="auto"/>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C01834" w:rsidRDefault="000561A5" w:rsidP="00D773DA">
            <w:pPr>
              <w:spacing w:after="160" w:line="259" w:lineRule="auto"/>
              <w:ind w:left="0" w:firstLine="0"/>
              <w:rPr>
                <w:b/>
                <w:color w:val="auto"/>
              </w:rPr>
            </w:pPr>
          </w:p>
        </w:tc>
      </w:tr>
      <w:tr w:rsidR="000561A5" w:rsidRPr="00C01834"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D773DA">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77777777" w:rsidR="000561A5" w:rsidRPr="00C01834" w:rsidRDefault="000561A5" w:rsidP="00D773DA">
            <w:pPr>
              <w:spacing w:after="160" w:line="259" w:lineRule="auto"/>
              <w:ind w:left="0" w:firstLine="0"/>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77777777" w:rsidR="000561A5" w:rsidRPr="00C01834" w:rsidRDefault="000561A5" w:rsidP="00D773DA">
            <w:pPr>
              <w:spacing w:after="160" w:line="259" w:lineRule="auto"/>
              <w:ind w:left="0" w:firstLine="0"/>
              <w:rPr>
                <w:color w:val="auto"/>
              </w:rPr>
            </w:pPr>
          </w:p>
        </w:tc>
      </w:tr>
      <w:tr w:rsidR="000561A5" w:rsidRPr="00C01834"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D773DA">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6DBF9BD0" w:rsidR="000561A5" w:rsidRPr="00C01834" w:rsidRDefault="00893A43" w:rsidP="00D773DA">
            <w:pPr>
              <w:spacing w:after="160" w:line="259" w:lineRule="auto"/>
              <w:ind w:left="0" w:firstLine="0"/>
              <w:rPr>
                <w:color w:val="auto"/>
              </w:rPr>
            </w:pPr>
            <w:r>
              <w:rPr>
                <w:color w:val="auto"/>
              </w:rPr>
              <w:t>15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1D5F90C7" w:rsidR="000561A5" w:rsidRPr="00C01834" w:rsidRDefault="00204148" w:rsidP="00D773DA">
            <w:pPr>
              <w:spacing w:after="160" w:line="259" w:lineRule="auto"/>
              <w:ind w:left="0" w:firstLine="0"/>
              <w:rPr>
                <w:color w:val="auto"/>
              </w:rPr>
            </w:pPr>
            <w:r>
              <w:rPr>
                <w:color w:val="auto"/>
              </w:rPr>
              <w:t>0,5</w:t>
            </w:r>
          </w:p>
        </w:tc>
      </w:tr>
      <w:tr w:rsidR="000561A5" w:rsidRPr="00C01834"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2B8E1CE3" w:rsidR="000561A5" w:rsidRPr="00C01834" w:rsidRDefault="000561A5" w:rsidP="00D773DA">
            <w:pPr>
              <w:spacing w:after="0" w:line="259" w:lineRule="auto"/>
              <w:ind w:left="0" w:firstLine="0"/>
              <w:rPr>
                <w:color w:val="auto"/>
              </w:rPr>
            </w:pPr>
            <w:r>
              <w:rPr>
                <w:color w:val="auto"/>
                <w:lang w:val="en-US"/>
              </w:rPr>
              <w:t>Discussions</w:t>
            </w:r>
            <w:r w:rsidRPr="00CD27EC">
              <w:rPr>
                <w:color w:val="auto"/>
                <w:lang w:val="en-US"/>
              </w:rPr>
              <w:t xml:space="preserve"> (</w:t>
            </w:r>
            <w:r>
              <w:rPr>
                <w:color w:val="auto"/>
                <w:lang w:val="en-US"/>
              </w:rPr>
              <w:t>D</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77777777" w:rsidR="000561A5" w:rsidRPr="00C01834" w:rsidRDefault="000561A5" w:rsidP="00D773DA">
            <w:pPr>
              <w:spacing w:after="160" w:line="259" w:lineRule="auto"/>
              <w:ind w:left="0" w:firstLine="0"/>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77777777" w:rsidR="000561A5" w:rsidRPr="00C01834" w:rsidRDefault="000561A5" w:rsidP="00D773DA">
            <w:pPr>
              <w:spacing w:after="160" w:line="259" w:lineRule="auto"/>
              <w:ind w:left="0" w:firstLine="0"/>
              <w:rPr>
                <w:color w:val="auto"/>
              </w:rPr>
            </w:pPr>
          </w:p>
        </w:tc>
      </w:tr>
      <w:tr w:rsidR="000561A5" w:rsidRPr="00C01834"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D773DA">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57DDAACA" w:rsidR="000561A5" w:rsidRPr="00C01834" w:rsidRDefault="000561A5" w:rsidP="00D773DA">
            <w:pPr>
              <w:spacing w:after="160" w:line="259" w:lineRule="auto"/>
              <w:ind w:left="0" w:firstLine="0"/>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7641DD8F" w:rsidR="000561A5" w:rsidRPr="00C01834" w:rsidRDefault="000561A5" w:rsidP="00D773DA">
            <w:pPr>
              <w:spacing w:after="160" w:line="259" w:lineRule="auto"/>
              <w:ind w:left="0" w:firstLine="0"/>
              <w:rPr>
                <w:color w:val="auto"/>
              </w:rPr>
            </w:pPr>
          </w:p>
        </w:tc>
      </w:tr>
      <w:tr w:rsidR="000561A5" w:rsidRPr="00C01834"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D773DA">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77777777" w:rsidR="000561A5" w:rsidRPr="00C01834" w:rsidRDefault="000561A5" w:rsidP="00D773DA">
            <w:pPr>
              <w:spacing w:after="160" w:line="259" w:lineRule="auto"/>
              <w:ind w:left="0" w:firstLine="0"/>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77777777" w:rsidR="000561A5" w:rsidRPr="00C01834" w:rsidRDefault="000561A5" w:rsidP="00D773DA">
            <w:pPr>
              <w:spacing w:after="160" w:line="259" w:lineRule="auto"/>
              <w:ind w:left="0" w:firstLine="0"/>
              <w:rPr>
                <w:color w:val="auto"/>
              </w:rPr>
            </w:pPr>
          </w:p>
        </w:tc>
      </w:tr>
      <w:tr w:rsidR="000561A5" w:rsidRPr="00C01834"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D773DA">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77777777" w:rsidR="000561A5" w:rsidRPr="00C01834" w:rsidRDefault="000561A5" w:rsidP="00D773DA">
            <w:pPr>
              <w:spacing w:after="160" w:line="259" w:lineRule="auto"/>
              <w:ind w:left="0" w:firstLine="0"/>
              <w:rPr>
                <w:color w:val="auto"/>
              </w:rPr>
            </w:pP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77777777" w:rsidR="000561A5" w:rsidRPr="00C01834" w:rsidRDefault="000561A5" w:rsidP="00D773DA">
            <w:pPr>
              <w:spacing w:after="160" w:line="259" w:lineRule="auto"/>
              <w:ind w:left="0" w:firstLine="0"/>
              <w:rPr>
                <w:color w:val="auto"/>
              </w:rPr>
            </w:pPr>
          </w:p>
        </w:tc>
      </w:tr>
      <w:tr w:rsidR="000561A5" w:rsidRPr="00C01834"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D773DA">
            <w:pPr>
              <w:spacing w:after="160" w:line="259" w:lineRule="auto"/>
              <w:ind w:left="0" w:firstLine="0"/>
              <w:rPr>
                <w:b/>
                <w:bCs/>
                <w:color w:val="auto"/>
              </w:rPr>
            </w:pPr>
            <w:r>
              <w:rPr>
                <w:b/>
                <w:bCs/>
                <w:color w:val="auto"/>
                <w:lang w:val="en-US"/>
              </w:rPr>
              <w:t>Unassisted student’s work</w:t>
            </w:r>
          </w:p>
        </w:tc>
      </w:tr>
      <w:tr w:rsidR="000561A5" w:rsidRPr="00C01834"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C01834" w:rsidRDefault="000561A5" w:rsidP="00D773DA">
            <w:pPr>
              <w:spacing w:after="0" w:line="259" w:lineRule="auto"/>
              <w:ind w:left="0" w:firstLine="0"/>
              <w:rPr>
                <w:color w:val="auto"/>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6F78D735" w:rsidR="000561A5" w:rsidRPr="00C01834" w:rsidRDefault="00204148" w:rsidP="00D773DA">
            <w:pPr>
              <w:spacing w:after="160" w:line="259" w:lineRule="auto"/>
              <w:ind w:left="0" w:firstLine="0"/>
              <w:rPr>
                <w:color w:val="auto"/>
              </w:rPr>
            </w:pPr>
            <w:r>
              <w:rPr>
                <w:color w:val="auto"/>
              </w:rPr>
              <w:t>15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2B868B11" w:rsidR="000561A5" w:rsidRPr="00C01834" w:rsidRDefault="00204148" w:rsidP="00204148">
            <w:pPr>
              <w:spacing w:after="160" w:line="259" w:lineRule="auto"/>
              <w:ind w:left="0" w:firstLine="0"/>
              <w:rPr>
                <w:color w:val="auto"/>
              </w:rPr>
            </w:pPr>
            <w:r>
              <w:rPr>
                <w:color w:val="auto"/>
              </w:rPr>
              <w:t>0,25</w:t>
            </w:r>
          </w:p>
        </w:tc>
      </w:tr>
    </w:tbl>
    <w:p w14:paraId="442CD670" w14:textId="0B1953D4" w:rsidR="00C01834" w:rsidRPr="00C01834" w:rsidRDefault="00C01834" w:rsidP="00CA3ACF">
      <w:pPr>
        <w:pStyle w:val="Nagwek1"/>
        <w:ind w:left="0" w:firstLine="0"/>
        <w:jc w:val="left"/>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C01834"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12D6E493" w:rsidR="00C01834" w:rsidRPr="00204148" w:rsidRDefault="00204148" w:rsidP="00204148">
            <w:pPr>
              <w:pStyle w:val="Akapitzlist"/>
              <w:numPr>
                <w:ilvl w:val="0"/>
                <w:numId w:val="7"/>
              </w:numPr>
              <w:spacing w:after="0" w:line="259" w:lineRule="auto"/>
              <w:ind w:right="353"/>
              <w:rPr>
                <w:color w:val="auto"/>
              </w:rPr>
            </w:pPr>
            <w:r w:rsidRPr="00204148">
              <w:rPr>
                <w:rFonts w:ascii="Times New Roman" w:eastAsia="Times New Roman" w:hAnsi="Times New Roman" w:cs="Times New Roman"/>
                <w:sz w:val="24"/>
                <w:szCs w:val="24"/>
                <w:u w:color="000000"/>
                <w:bdr w:val="nil"/>
              </w:rPr>
              <w:t>To familiarize the students with the principles of preparation of tooth cavity to modern endodontic treatment</w:t>
            </w:r>
          </w:p>
        </w:tc>
      </w:tr>
      <w:tr w:rsidR="00C01834" w:rsidRPr="00C01834"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9C7698C" w14:textId="7EDFBC50" w:rsidR="00204148" w:rsidRPr="00204148" w:rsidRDefault="00204148" w:rsidP="00204148">
            <w:pPr>
              <w:pStyle w:val="Akapitzlist"/>
              <w:numPr>
                <w:ilvl w:val="0"/>
                <w:numId w:val="7"/>
              </w:numPr>
              <w:pBdr>
                <w:top w:val="nil"/>
                <w:left w:val="nil"/>
                <w:bottom w:val="nil"/>
                <w:right w:val="nil"/>
                <w:between w:val="nil"/>
                <w:bar w:val="nil"/>
              </w:pBdr>
              <w:spacing w:before="120" w:after="120" w:line="240" w:lineRule="auto"/>
              <w:jc w:val="both"/>
              <w:outlineLvl w:val="3"/>
              <w:rPr>
                <w:rFonts w:ascii="Times New Roman" w:hAnsi="Times New Roman"/>
                <w:color w:val="0000FF"/>
                <w:sz w:val="22"/>
                <w:u w:color="0000FF"/>
                <w:bdr w:val="nil"/>
                <w:lang w:val="en-US"/>
              </w:rPr>
            </w:pPr>
            <w:r w:rsidRPr="00204148">
              <w:rPr>
                <w:rFonts w:ascii="Times New Roman" w:hAnsi="Times New Roman"/>
                <w:sz w:val="22"/>
                <w:u w:color="000000"/>
                <w:bdr w:val="nil"/>
                <w:lang w:val="en-US"/>
              </w:rPr>
              <w:t>To familiarize the students with the clinical importance of anatomic variations in conservative dentistry and pedodontics</w:t>
            </w:r>
          </w:p>
          <w:p w14:paraId="189CAFB7" w14:textId="77777777" w:rsidR="00C01834" w:rsidRPr="00C01834" w:rsidRDefault="00C01834" w:rsidP="00D773DA">
            <w:pPr>
              <w:spacing w:after="0" w:line="259" w:lineRule="auto"/>
              <w:ind w:left="0" w:firstLine="0"/>
              <w:rPr>
                <w:color w:val="auto"/>
              </w:rPr>
            </w:pPr>
          </w:p>
        </w:tc>
      </w:tr>
      <w:tr w:rsidR="00C01834" w:rsidRPr="00C01834" w14:paraId="7A46E8E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7FD64451" w14:textId="592F9942"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3</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A103558" w14:textId="29DD5378" w:rsidR="00204148" w:rsidRPr="00204148" w:rsidRDefault="00204148" w:rsidP="00204148">
            <w:pPr>
              <w:pStyle w:val="Akapitzlist"/>
              <w:numPr>
                <w:ilvl w:val="0"/>
                <w:numId w:val="7"/>
              </w:numPr>
              <w:pBdr>
                <w:top w:val="nil"/>
                <w:left w:val="nil"/>
                <w:bottom w:val="nil"/>
                <w:right w:val="nil"/>
                <w:between w:val="nil"/>
                <w:bar w:val="nil"/>
              </w:pBdr>
              <w:spacing w:before="120" w:after="120" w:line="240" w:lineRule="auto"/>
              <w:jc w:val="both"/>
              <w:outlineLvl w:val="3"/>
              <w:rPr>
                <w:rFonts w:ascii="Times New Roman" w:hAnsi="Times New Roman"/>
                <w:color w:val="0000FF"/>
                <w:sz w:val="22"/>
                <w:u w:color="0000FF"/>
                <w:bdr w:val="nil"/>
                <w:lang w:val="en-US"/>
              </w:rPr>
            </w:pPr>
            <w:r w:rsidRPr="00204148">
              <w:rPr>
                <w:rFonts w:ascii="Times New Roman" w:hAnsi="Times New Roman"/>
                <w:sz w:val="22"/>
                <w:u w:color="000000"/>
                <w:bdr w:val="nil"/>
                <w:lang w:val="en-US"/>
              </w:rPr>
              <w:t>To familiarize the students with the anatomy of the primary and  permanent teeth, their development and anatomic variants</w:t>
            </w:r>
          </w:p>
          <w:p w14:paraId="5A07DA19" w14:textId="77777777" w:rsidR="00C01834" w:rsidRPr="00C01834" w:rsidRDefault="00C01834" w:rsidP="00D773DA">
            <w:pPr>
              <w:spacing w:after="0" w:line="259" w:lineRule="auto"/>
              <w:ind w:left="0" w:firstLine="0"/>
              <w:rPr>
                <w:color w:val="auto"/>
              </w:rPr>
            </w:pPr>
          </w:p>
        </w:tc>
      </w:tr>
    </w:tbl>
    <w:p w14:paraId="6B539095" w14:textId="6164ADBA" w:rsidR="00C01834" w:rsidRPr="00C01834" w:rsidRDefault="00C01834" w:rsidP="00CA3ACF">
      <w:pPr>
        <w:pStyle w:val="Nagwek1"/>
        <w:ind w:left="0" w:firstLine="0"/>
        <w:jc w:val="left"/>
        <w:rPr>
          <w:color w:val="auto"/>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C01834"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A3ACF" w:rsidRDefault="00CA3ACF" w:rsidP="00D069B2">
            <w:pPr>
              <w:pStyle w:val="Nagwek1"/>
              <w:numPr>
                <w:ilvl w:val="0"/>
                <w:numId w:val="1"/>
              </w:numPr>
              <w:jc w:val="left"/>
              <w:outlineLvl w:val="0"/>
              <w:rPr>
                <w:smallCaps/>
                <w:color w:val="auto"/>
              </w:rPr>
            </w:pPr>
            <w:r w:rsidRPr="00D069B2">
              <w:rPr>
                <w:smallCaps/>
                <w:color w:val="auto"/>
                <w:lang w:val="en-US"/>
              </w:rPr>
              <w:t>S</w:t>
            </w:r>
            <w:r w:rsidR="007111DF" w:rsidRPr="00D069B2">
              <w:rPr>
                <w:smallCaps/>
                <w:color w:val="auto"/>
                <w:lang w:val="en-US"/>
              </w:rPr>
              <w:t>tandar</w:t>
            </w:r>
            <w:r w:rsidR="00D069B2" w:rsidRPr="00D069B2">
              <w:rPr>
                <w:smallCaps/>
                <w:color w:val="auto"/>
                <w:lang w:val="en-US"/>
              </w:rPr>
              <w:t>ds</w:t>
            </w:r>
            <w:r w:rsidR="007111DF">
              <w:rPr>
                <w:smallCaps/>
                <w:color w:val="auto"/>
              </w:rPr>
              <w:t xml:space="preserve"> of learning </w:t>
            </w:r>
            <w:r w:rsidRPr="00CA3ACF">
              <w:rPr>
                <w:smallCaps/>
                <w:color w:val="auto"/>
              </w:rPr>
              <w:t xml:space="preserve">– </w:t>
            </w:r>
            <w:r w:rsidR="007111DF" w:rsidRPr="007111DF">
              <w:rPr>
                <w:smallCaps/>
                <w:color w:val="auto"/>
                <w:lang w:val="en-US"/>
              </w:rPr>
              <w:t xml:space="preserve">Detailed </w:t>
            </w:r>
            <w:r w:rsidR="00D069B2">
              <w:rPr>
                <w:smallCaps/>
                <w:color w:val="auto"/>
                <w:lang w:val="en-US"/>
              </w:rPr>
              <w:t xml:space="preserve">description of </w:t>
            </w:r>
            <w:r w:rsidR="007111DF" w:rsidRPr="007111DF">
              <w:rPr>
                <w:smallCaps/>
                <w:color w:val="auto"/>
                <w:lang w:val="en-US"/>
              </w:rPr>
              <w:t>effects of learning</w:t>
            </w:r>
            <w:r w:rsidR="007111DF">
              <w:rPr>
                <w:smallCaps/>
                <w:color w:val="auto"/>
              </w:rPr>
              <w:t xml:space="preserve"> </w:t>
            </w:r>
            <w:r w:rsidRPr="00CA3ACF">
              <w:rPr>
                <w:b w:val="0"/>
                <w:i/>
                <w:iCs/>
                <w:color w:val="auto"/>
                <w:sz w:val="16"/>
                <w:szCs w:val="14"/>
              </w:rPr>
              <w:t>(</w:t>
            </w:r>
            <w:r w:rsidR="007111DF" w:rsidRPr="007111DF">
              <w:rPr>
                <w:b w:val="0"/>
                <w:i/>
                <w:iCs/>
                <w:color w:val="auto"/>
                <w:sz w:val="16"/>
                <w:szCs w:val="14"/>
                <w:lang w:val="en-US"/>
              </w:rPr>
              <w:t xml:space="preserve">concerns fields of study regulated by the Regulation of Minister of Science and Higher Education from </w:t>
            </w:r>
            <w:r w:rsidRPr="007111DF">
              <w:rPr>
                <w:b w:val="0"/>
                <w:i/>
                <w:iCs/>
                <w:color w:val="auto"/>
                <w:sz w:val="16"/>
                <w:szCs w:val="14"/>
                <w:lang w:val="en-US"/>
              </w:rPr>
              <w:t xml:space="preserve">26 </w:t>
            </w:r>
            <w:r w:rsidR="007111DF" w:rsidRPr="007111DF">
              <w:rPr>
                <w:b w:val="0"/>
                <w:i/>
                <w:iCs/>
                <w:color w:val="auto"/>
                <w:sz w:val="16"/>
                <w:szCs w:val="14"/>
                <w:lang w:val="en-US"/>
              </w:rPr>
              <w:t>of July 2019; does not ap</w:t>
            </w:r>
            <w:r w:rsidR="007111DF">
              <w:rPr>
                <w:b w:val="0"/>
                <w:i/>
                <w:iCs/>
                <w:color w:val="auto"/>
                <w:sz w:val="16"/>
                <w:szCs w:val="14"/>
                <w:lang w:val="en-US"/>
              </w:rPr>
              <w:t>p</w:t>
            </w:r>
            <w:r w:rsidR="007111DF" w:rsidRPr="007111DF">
              <w:rPr>
                <w:b w:val="0"/>
                <w:i/>
                <w:iCs/>
                <w:color w:val="auto"/>
                <w:sz w:val="16"/>
                <w:szCs w:val="14"/>
                <w:lang w:val="en-US"/>
              </w:rPr>
              <w:t>ly to other fields of study</w:t>
            </w:r>
            <w:r w:rsidRPr="007111DF">
              <w:rPr>
                <w:b w:val="0"/>
                <w:i/>
                <w:iCs/>
                <w:color w:val="auto"/>
                <w:sz w:val="16"/>
                <w:szCs w:val="14"/>
                <w:lang w:val="en-US"/>
              </w:rPr>
              <w:t>)</w:t>
            </w:r>
          </w:p>
        </w:tc>
      </w:tr>
      <w:tr w:rsidR="00C01834" w:rsidRPr="00C0183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Default="00D069B2" w:rsidP="004007F3">
            <w:pPr>
              <w:spacing w:after="0" w:line="259" w:lineRule="auto"/>
              <w:ind w:left="0" w:right="-351" w:firstLine="0"/>
              <w:rPr>
                <w:b/>
                <w:color w:val="auto"/>
                <w:lang w:val="en-US"/>
              </w:rPr>
            </w:pPr>
            <w:r w:rsidRPr="004007F3">
              <w:rPr>
                <w:b/>
                <w:color w:val="auto"/>
                <w:lang w:val="en-US"/>
              </w:rPr>
              <w:t xml:space="preserve">Code and </w:t>
            </w:r>
            <w:r w:rsidR="004007F3" w:rsidRPr="004007F3">
              <w:rPr>
                <w:b/>
                <w:color w:val="auto"/>
                <w:lang w:val="en-US"/>
              </w:rPr>
              <w:t>num</w:t>
            </w:r>
            <w:r w:rsidR="004007F3">
              <w:rPr>
                <w:b/>
                <w:color w:val="auto"/>
                <w:lang w:val="en-US"/>
              </w:rPr>
              <w:t>b</w:t>
            </w:r>
            <w:r w:rsidR="004007F3" w:rsidRPr="004007F3">
              <w:rPr>
                <w:b/>
                <w:color w:val="auto"/>
                <w:lang w:val="en-US"/>
              </w:rPr>
              <w:t xml:space="preserve">er of effect of learning in accordance with standards of learning </w:t>
            </w:r>
          </w:p>
          <w:p w14:paraId="6D0CA4A9" w14:textId="77777777" w:rsidR="004007F3" w:rsidRPr="004007F3" w:rsidRDefault="004007F3" w:rsidP="004007F3">
            <w:pPr>
              <w:spacing w:after="0" w:line="259" w:lineRule="auto"/>
              <w:ind w:left="0" w:right="-351" w:firstLine="0"/>
              <w:rPr>
                <w:bCs/>
                <w:i/>
                <w:iCs/>
                <w:color w:val="auto"/>
                <w:sz w:val="16"/>
                <w:szCs w:val="16"/>
                <w:lang w:val="en-US"/>
              </w:rPr>
            </w:pPr>
            <w:r w:rsidRPr="004007F3">
              <w:rPr>
                <w:bCs/>
                <w:i/>
                <w:iCs/>
                <w:color w:val="auto"/>
                <w:sz w:val="16"/>
                <w:szCs w:val="20"/>
                <w:lang w:val="en-US"/>
              </w:rPr>
              <w:t>(</w:t>
            </w:r>
            <w:r w:rsidRPr="004007F3">
              <w:rPr>
                <w:bCs/>
                <w:i/>
                <w:iCs/>
                <w:color w:val="auto"/>
                <w:sz w:val="16"/>
                <w:szCs w:val="16"/>
                <w:lang w:val="en-US"/>
              </w:rPr>
              <w:t xml:space="preserve">in accordance with appendix to the Regulation of  Minister of Science </w:t>
            </w:r>
          </w:p>
          <w:p w14:paraId="682E5BB6" w14:textId="77777777" w:rsidR="007766DD" w:rsidRDefault="004007F3" w:rsidP="004007F3">
            <w:pPr>
              <w:spacing w:after="0" w:line="259" w:lineRule="auto"/>
              <w:ind w:left="0" w:right="-351" w:firstLine="0"/>
              <w:rPr>
                <w:bCs/>
                <w:i/>
                <w:iCs/>
                <w:color w:val="auto"/>
                <w:sz w:val="16"/>
                <w:szCs w:val="16"/>
                <w:lang w:val="en-US"/>
              </w:rPr>
            </w:pPr>
            <w:r w:rsidRPr="004007F3">
              <w:rPr>
                <w:bCs/>
                <w:i/>
                <w:iCs/>
                <w:color w:val="auto"/>
                <w:sz w:val="16"/>
                <w:szCs w:val="16"/>
                <w:lang w:val="en-US"/>
              </w:rPr>
              <w:t xml:space="preserve">and Higher education from 26th of </w:t>
            </w:r>
          </w:p>
          <w:p w14:paraId="0CBA0C4A" w14:textId="55813373" w:rsidR="00C01834" w:rsidRPr="00C01834" w:rsidRDefault="004007F3" w:rsidP="004007F3">
            <w:pPr>
              <w:spacing w:after="0" w:line="259" w:lineRule="auto"/>
              <w:ind w:left="0" w:right="-351" w:firstLine="0"/>
              <w:rPr>
                <w:color w:val="auto"/>
              </w:rPr>
            </w:pPr>
            <w:r w:rsidRPr="004007F3">
              <w:rPr>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01834" w:rsidRDefault="00A71DD0" w:rsidP="00D773DA">
            <w:pPr>
              <w:spacing w:after="0" w:line="259" w:lineRule="auto"/>
              <w:ind w:left="0" w:firstLine="0"/>
              <w:rPr>
                <w:color w:val="auto"/>
              </w:rPr>
            </w:pPr>
            <w:r w:rsidRPr="00CD27EC">
              <w:rPr>
                <w:b/>
                <w:color w:val="auto"/>
                <w:lang w:val="en-US"/>
              </w:rPr>
              <w:t>E</w:t>
            </w:r>
            <w:r>
              <w:rPr>
                <w:b/>
                <w:color w:val="auto"/>
                <w:lang w:val="en-US"/>
              </w:rPr>
              <w:t>ffects in time</w:t>
            </w:r>
          </w:p>
        </w:tc>
      </w:tr>
      <w:tr w:rsidR="00C01834" w:rsidRPr="00C01834"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01834" w:rsidRDefault="00A71DD0" w:rsidP="00A71DD0">
            <w:pPr>
              <w:spacing w:after="0" w:line="259" w:lineRule="auto"/>
              <w:ind w:left="0" w:firstLine="0"/>
              <w:rPr>
                <w:color w:val="auto"/>
              </w:rPr>
            </w:pPr>
            <w:r>
              <w:rPr>
                <w:b/>
                <w:color w:val="auto"/>
                <w:lang w:val="en-US"/>
              </w:rPr>
              <w:lastRenderedPageBreak/>
              <w:t xml:space="preserve">Knowledge </w:t>
            </w:r>
            <w:r w:rsidRPr="00CD27EC">
              <w:rPr>
                <w:b/>
                <w:color w:val="auto"/>
                <w:lang w:val="en-US"/>
              </w:rPr>
              <w:t xml:space="preserve">– </w:t>
            </w:r>
            <w:r>
              <w:rPr>
                <w:b/>
                <w:color w:val="auto"/>
                <w:lang w:val="en-US"/>
              </w:rPr>
              <w:t>Graduate* knows and understands:</w:t>
            </w:r>
          </w:p>
        </w:tc>
      </w:tr>
      <w:tr w:rsidR="00C01834" w:rsidRPr="00C01834" w14:paraId="25FEEE9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15EF2AE7" w14:textId="7000C3CE" w:rsidR="00C01834" w:rsidRPr="00C01834" w:rsidRDefault="00204148" w:rsidP="00A71DD0">
            <w:pPr>
              <w:spacing w:after="0" w:line="259" w:lineRule="auto"/>
              <w:ind w:left="161" w:firstLine="0"/>
              <w:jc w:val="center"/>
              <w:rPr>
                <w:color w:val="auto"/>
              </w:rPr>
            </w:pPr>
            <w:r>
              <w:rPr>
                <w:color w:val="auto"/>
              </w:rPr>
              <w:t>W1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83A6CCE" w14:textId="77777777" w:rsidR="00204148" w:rsidRPr="00204148" w:rsidRDefault="00204148" w:rsidP="00204148">
            <w:pPr>
              <w:pBdr>
                <w:top w:val="nil"/>
                <w:left w:val="nil"/>
                <w:bottom w:val="nil"/>
                <w:right w:val="nil"/>
                <w:between w:val="nil"/>
                <w:bar w:val="nil"/>
              </w:pBdr>
              <w:spacing w:after="0" w:line="240" w:lineRule="auto"/>
              <w:ind w:left="0" w:firstLine="0"/>
              <w:jc w:val="both"/>
              <w:outlineLvl w:val="3"/>
              <w:rPr>
                <w:rFonts w:ascii="Times New Roman" w:eastAsia="Times New Roman" w:hAnsi="Times New Roman" w:cs="Times New Roman"/>
                <w:sz w:val="24"/>
                <w:szCs w:val="24"/>
                <w:u w:color="000000"/>
                <w:bdr w:val="nil"/>
                <w:lang w:val="en-US"/>
              </w:rPr>
            </w:pPr>
            <w:r w:rsidRPr="00204148">
              <w:rPr>
                <w:rFonts w:ascii="Times New Roman" w:hAnsi="Times New Roman"/>
                <w:sz w:val="24"/>
                <w:szCs w:val="24"/>
                <w:u w:color="000000"/>
                <w:bdr w:val="nil"/>
                <w:lang w:val="en-US"/>
              </w:rPr>
              <w:t xml:space="preserve">Know and differentiate the anatomic features of primary and permanent teeth, the most common clinical variants, the clinical importance of the anatomic variants, </w:t>
            </w:r>
          </w:p>
          <w:p w14:paraId="134DAD52" w14:textId="746D0FB9" w:rsidR="00C01834" w:rsidRPr="00C01834" w:rsidRDefault="00204148" w:rsidP="00204148">
            <w:pPr>
              <w:spacing w:after="0" w:line="259" w:lineRule="auto"/>
              <w:ind w:left="0" w:firstLine="0"/>
              <w:rPr>
                <w:color w:val="auto"/>
              </w:rPr>
            </w:pPr>
            <w:r w:rsidRPr="00204148">
              <w:rPr>
                <w:rFonts w:ascii="Times New Roman" w:eastAsia="Times New Roman" w:hAnsi="Times New Roman" w:cs="Times New Roman"/>
                <w:sz w:val="24"/>
                <w:szCs w:val="24"/>
                <w:u w:color="000000"/>
                <w:bdr w:val="nil"/>
              </w:rPr>
              <w:t>the anatomy and histology of primary and immature permanent teeth</w:t>
            </w:r>
          </w:p>
        </w:tc>
      </w:tr>
      <w:tr w:rsidR="00C01834" w:rsidRPr="00C01834" w14:paraId="257A5CD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4014F658" w14:textId="3BC5BAE7" w:rsidR="00C01834" w:rsidRPr="00C01834" w:rsidRDefault="00204148" w:rsidP="00A71DD0">
            <w:pPr>
              <w:spacing w:after="0" w:line="259" w:lineRule="auto"/>
              <w:ind w:left="161" w:firstLine="0"/>
              <w:jc w:val="center"/>
              <w:rPr>
                <w:color w:val="auto"/>
              </w:rPr>
            </w:pPr>
            <w:r>
              <w:rPr>
                <w:color w:val="auto"/>
              </w:rPr>
              <w:t>W2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3B6ABA" w14:textId="00002E99" w:rsidR="00C01834" w:rsidRPr="00C01834" w:rsidRDefault="00204148" w:rsidP="00D773DA">
            <w:pPr>
              <w:spacing w:after="0" w:line="259" w:lineRule="auto"/>
              <w:ind w:left="0" w:firstLine="0"/>
              <w:rPr>
                <w:color w:val="auto"/>
              </w:rPr>
            </w:pPr>
            <w:r w:rsidRPr="00204148">
              <w:rPr>
                <w:rFonts w:ascii="Times New Roman" w:eastAsia="Times New Roman" w:hAnsi="Times New Roman" w:cs="Times New Roman"/>
                <w:sz w:val="24"/>
                <w:szCs w:val="24"/>
                <w:u w:color="000000"/>
                <w:bdr w:val="nil"/>
              </w:rPr>
              <w:t>Know the morphology of the pulp spaces of the permanent teeth and the most common anatomic variants of the pulp spaces</w:t>
            </w:r>
          </w:p>
        </w:tc>
      </w:tr>
      <w:tr w:rsidR="00204148" w:rsidRPr="00C01834" w14:paraId="369E066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7C196E5C" w14:textId="2BA01094" w:rsidR="00204148" w:rsidRDefault="00204148" w:rsidP="00A71DD0">
            <w:pPr>
              <w:spacing w:after="0" w:line="259" w:lineRule="auto"/>
              <w:ind w:left="161" w:firstLine="0"/>
              <w:jc w:val="center"/>
              <w:rPr>
                <w:color w:val="auto"/>
              </w:rPr>
            </w:pPr>
            <w:r>
              <w:rPr>
                <w:color w:val="auto"/>
              </w:rPr>
              <w:t>W3</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6ABC47E" w14:textId="639DA25D" w:rsidR="00204148" w:rsidRPr="00204148" w:rsidRDefault="00204148" w:rsidP="00D773DA">
            <w:pPr>
              <w:spacing w:after="0" w:line="259" w:lineRule="auto"/>
              <w:ind w:left="0" w:firstLine="0"/>
              <w:rPr>
                <w:rFonts w:ascii="Times New Roman" w:eastAsia="Times New Roman" w:hAnsi="Times New Roman" w:cs="Times New Roman"/>
                <w:sz w:val="24"/>
                <w:szCs w:val="24"/>
                <w:u w:color="000000"/>
                <w:bdr w:val="nil"/>
              </w:rPr>
            </w:pPr>
            <w:r w:rsidRPr="00204148">
              <w:rPr>
                <w:rFonts w:ascii="Times New Roman" w:eastAsia="Times New Roman" w:hAnsi="Times New Roman" w:cs="Times New Roman"/>
                <w:sz w:val="24"/>
                <w:szCs w:val="24"/>
                <w:u w:color="000000"/>
                <w:bdr w:val="nil"/>
              </w:rPr>
              <w:t>Know the radiologic appearance  of normal primary and permanent teeth in dental radiography, orthopantomography, extraoral radiography and cone beam computed tomography (CBCT)</w:t>
            </w:r>
          </w:p>
        </w:tc>
      </w:tr>
      <w:tr w:rsidR="00204148" w:rsidRPr="00C01834" w14:paraId="234D6B92"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67E55515" w14:textId="4D89E0F2" w:rsidR="00204148" w:rsidRDefault="00204148" w:rsidP="00A71DD0">
            <w:pPr>
              <w:spacing w:after="0" w:line="259" w:lineRule="auto"/>
              <w:ind w:left="161" w:firstLine="0"/>
              <w:jc w:val="center"/>
              <w:rPr>
                <w:color w:val="auto"/>
              </w:rPr>
            </w:pPr>
            <w:r>
              <w:rPr>
                <w:color w:val="auto"/>
              </w:rPr>
              <w:t>W4</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3FE0688" w14:textId="48A03665" w:rsidR="00204148" w:rsidRPr="00204148" w:rsidRDefault="00204148" w:rsidP="00D773DA">
            <w:pPr>
              <w:spacing w:after="0" w:line="259" w:lineRule="auto"/>
              <w:ind w:left="0" w:firstLine="0"/>
              <w:rPr>
                <w:rFonts w:ascii="Times New Roman" w:eastAsia="Times New Roman" w:hAnsi="Times New Roman" w:cs="Times New Roman"/>
                <w:sz w:val="24"/>
                <w:szCs w:val="24"/>
                <w:u w:color="000000"/>
                <w:bdr w:val="nil"/>
              </w:rPr>
            </w:pPr>
            <w:r w:rsidRPr="00204148">
              <w:rPr>
                <w:rFonts w:ascii="Times New Roman" w:eastAsia="Times New Roman" w:hAnsi="Times New Roman" w:cs="Times New Roman"/>
                <w:sz w:val="24"/>
                <w:szCs w:val="24"/>
                <w:u w:color="000000"/>
                <w:bdr w:val="nil"/>
              </w:rPr>
              <w:t>Know the radiologic appearance of tooth development</w:t>
            </w:r>
          </w:p>
        </w:tc>
      </w:tr>
      <w:tr w:rsidR="00204148" w:rsidRPr="00C01834" w14:paraId="3184C26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1A14381E" w14:textId="10357AB4" w:rsidR="00204148" w:rsidRDefault="00204148" w:rsidP="00A71DD0">
            <w:pPr>
              <w:spacing w:after="0" w:line="259" w:lineRule="auto"/>
              <w:ind w:left="161" w:firstLine="0"/>
              <w:jc w:val="center"/>
              <w:rPr>
                <w:color w:val="auto"/>
              </w:rPr>
            </w:pPr>
            <w:r>
              <w:rPr>
                <w:color w:val="auto"/>
              </w:rPr>
              <w:t>W5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4B9A893" w14:textId="070B88BA" w:rsidR="00204148" w:rsidRPr="00204148" w:rsidRDefault="00204148" w:rsidP="00D773DA">
            <w:pPr>
              <w:spacing w:after="0" w:line="259" w:lineRule="auto"/>
              <w:ind w:left="0" w:firstLine="0"/>
              <w:rPr>
                <w:rFonts w:ascii="Times New Roman" w:eastAsia="Times New Roman" w:hAnsi="Times New Roman" w:cs="Times New Roman"/>
                <w:sz w:val="24"/>
                <w:szCs w:val="24"/>
                <w:u w:color="000000"/>
                <w:bdr w:val="nil"/>
              </w:rPr>
            </w:pPr>
            <w:r>
              <w:rPr>
                <w:rFonts w:ascii="Times New Roman" w:hAnsi="Times New Roman"/>
                <w:sz w:val="24"/>
                <w:szCs w:val="24"/>
              </w:rPr>
              <w:t>Know the radiologic appearance of the most common developmental variants in dental radiography, orthopantomography, extraoral radiography and cone beam computed tomography (CBCT)</w:t>
            </w:r>
          </w:p>
        </w:tc>
      </w:tr>
      <w:tr w:rsidR="00204148" w:rsidRPr="00C01834" w14:paraId="17EFC99C"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1DADF0C8" w14:textId="6EB1133F" w:rsidR="00204148" w:rsidRDefault="00204148" w:rsidP="00A71DD0">
            <w:pPr>
              <w:spacing w:after="0" w:line="259" w:lineRule="auto"/>
              <w:ind w:left="161" w:firstLine="0"/>
              <w:jc w:val="center"/>
              <w:rPr>
                <w:color w:val="auto"/>
              </w:rPr>
            </w:pPr>
            <w:r>
              <w:rPr>
                <w:color w:val="auto"/>
              </w:rPr>
              <w:t>W6</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4FAE353" w14:textId="101A5B1F" w:rsidR="00204148" w:rsidRPr="00204148" w:rsidRDefault="00204148" w:rsidP="00D773DA">
            <w:pPr>
              <w:spacing w:after="0" w:line="259" w:lineRule="auto"/>
              <w:ind w:left="0" w:firstLine="0"/>
              <w:rPr>
                <w:rFonts w:ascii="Times New Roman" w:eastAsia="Times New Roman" w:hAnsi="Times New Roman" w:cs="Times New Roman"/>
                <w:sz w:val="24"/>
                <w:szCs w:val="24"/>
                <w:u w:color="000000"/>
                <w:bdr w:val="nil"/>
              </w:rPr>
            </w:pPr>
            <w:r>
              <w:rPr>
                <w:rFonts w:ascii="Times New Roman" w:hAnsi="Times New Roman"/>
                <w:sz w:val="24"/>
                <w:szCs w:val="24"/>
              </w:rPr>
              <w:t>Know and understand the clinical importance of the anatomic variants in context of modern endodontic treatment</w:t>
            </w:r>
          </w:p>
        </w:tc>
      </w:tr>
      <w:tr w:rsidR="00830B02" w:rsidRPr="00C01834"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01834" w:rsidRDefault="00830B02" w:rsidP="00D773DA">
            <w:pPr>
              <w:spacing w:after="0" w:line="259" w:lineRule="auto"/>
              <w:ind w:left="0" w:firstLine="0"/>
              <w:rPr>
                <w:color w:val="auto"/>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10CBFBE" w:rsidR="00C01834" w:rsidRPr="00C01834" w:rsidRDefault="00830B02" w:rsidP="00830B02">
            <w:pPr>
              <w:spacing w:after="0" w:line="259" w:lineRule="auto"/>
              <w:ind w:left="15" w:firstLine="0"/>
              <w:jc w:val="center"/>
              <w:rPr>
                <w:color w:val="auto"/>
              </w:rPr>
            </w:pPr>
            <w:r>
              <w:rPr>
                <w:color w:val="auto"/>
              </w:rPr>
              <w:t>G</w:t>
            </w:r>
            <w:r w:rsidR="00C01834" w:rsidRPr="00C01834">
              <w:rPr>
                <w:color w:val="auto"/>
              </w:rPr>
              <w:t>.</w:t>
            </w:r>
            <w:r>
              <w:rPr>
                <w:color w:val="auto"/>
              </w:rPr>
              <w:t>S</w:t>
            </w:r>
            <w:r w:rsidR="00C01834" w:rsidRPr="00C01834">
              <w:rPr>
                <w:color w:val="auto"/>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77777777" w:rsidR="00C01834" w:rsidRPr="00C01834" w:rsidRDefault="00C01834" w:rsidP="00D773DA">
            <w:pPr>
              <w:spacing w:after="0" w:line="259" w:lineRule="auto"/>
              <w:ind w:left="0" w:firstLine="0"/>
              <w:rPr>
                <w:color w:val="auto"/>
              </w:rPr>
            </w:pPr>
          </w:p>
        </w:tc>
      </w:tr>
      <w:tr w:rsidR="00C01834" w:rsidRPr="00C01834" w14:paraId="20A16B5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53689755" w14:textId="4F85B6FF" w:rsidR="00C01834" w:rsidRPr="00C01834" w:rsidRDefault="00830B02" w:rsidP="00830B02">
            <w:pPr>
              <w:spacing w:after="0" w:line="259" w:lineRule="auto"/>
              <w:ind w:left="15" w:firstLine="0"/>
              <w:jc w:val="center"/>
              <w:rPr>
                <w:color w:val="auto"/>
              </w:rPr>
            </w:pPr>
            <w:r>
              <w:rPr>
                <w:color w:val="auto"/>
              </w:rPr>
              <w:t>G</w:t>
            </w:r>
            <w:r w:rsidR="00C01834" w:rsidRPr="00C01834">
              <w:rPr>
                <w:color w:val="auto"/>
              </w:rPr>
              <w:t>.</w:t>
            </w:r>
            <w:r>
              <w:rPr>
                <w:color w:val="auto"/>
              </w:rPr>
              <w:t>S</w:t>
            </w:r>
            <w:r w:rsidR="00C01834" w:rsidRPr="00C01834">
              <w:rPr>
                <w:color w:val="auto"/>
              </w:rPr>
              <w:t>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8287D2" w14:textId="77777777" w:rsidR="00C01834" w:rsidRPr="00C01834" w:rsidRDefault="00C01834" w:rsidP="00D773DA">
            <w:pPr>
              <w:spacing w:after="0" w:line="259" w:lineRule="auto"/>
              <w:ind w:left="0" w:firstLine="0"/>
              <w:rPr>
                <w:color w:val="auto"/>
              </w:rPr>
            </w:pP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CA3ACF" w:rsidRDefault="00B8221A" w:rsidP="00CA3ACF">
      <w:pPr>
        <w:spacing w:after="11" w:line="259" w:lineRule="auto"/>
        <w:ind w:left="0" w:firstLine="0"/>
        <w:rPr>
          <w:bCs/>
          <w:i/>
          <w:iCs/>
          <w:color w:val="auto"/>
          <w:sz w:val="16"/>
          <w:szCs w:val="14"/>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C01834"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C01834"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Effects of learning i time</w:t>
            </w:r>
          </w:p>
        </w:tc>
      </w:tr>
      <w:tr w:rsidR="00C01834" w:rsidRPr="00C01834"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C01834" w:rsidRDefault="00830B02" w:rsidP="00D773DA">
            <w:pPr>
              <w:spacing w:after="0" w:line="259" w:lineRule="auto"/>
              <w:ind w:left="0" w:firstLine="0"/>
              <w:rPr>
                <w:color w:val="auto"/>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C01834"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77777777" w:rsidR="00C01834" w:rsidRPr="00C01834" w:rsidRDefault="00C01834" w:rsidP="00D773DA">
            <w:pPr>
              <w:spacing w:after="0" w:line="259" w:lineRule="auto"/>
              <w:ind w:left="0" w:firstLine="0"/>
              <w:rPr>
                <w:color w:val="auto"/>
              </w:rPr>
            </w:pPr>
          </w:p>
        </w:tc>
      </w:tr>
      <w:tr w:rsidR="00C01834" w:rsidRPr="00C01834" w14:paraId="4A696A4B"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A2D83C6" w14:textId="10568C75"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250623" w14:textId="77777777" w:rsidR="00C01834" w:rsidRPr="00C01834" w:rsidRDefault="00C01834" w:rsidP="00D773DA">
            <w:pPr>
              <w:spacing w:after="0" w:line="259" w:lineRule="auto"/>
              <w:ind w:left="0" w:firstLine="0"/>
              <w:rPr>
                <w:color w:val="auto"/>
              </w:rPr>
            </w:pPr>
          </w:p>
        </w:tc>
      </w:tr>
      <w:tr w:rsidR="00C01834" w:rsidRPr="00C01834"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C01834" w:rsidRDefault="00830B02" w:rsidP="00D773DA">
            <w:pPr>
              <w:spacing w:after="0" w:line="259" w:lineRule="auto"/>
              <w:ind w:left="0" w:firstLine="0"/>
              <w:rPr>
                <w:color w:val="auto"/>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77777777" w:rsidR="00C01834" w:rsidRPr="00C01834" w:rsidRDefault="00C01834" w:rsidP="00D773DA">
            <w:pPr>
              <w:spacing w:after="0" w:line="259" w:lineRule="auto"/>
              <w:ind w:left="0" w:firstLine="0"/>
              <w:rPr>
                <w:color w:val="auto"/>
              </w:rPr>
            </w:pP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77777777" w:rsidR="00C01834" w:rsidRPr="00C01834" w:rsidRDefault="00C01834" w:rsidP="00D773DA">
            <w:pPr>
              <w:spacing w:after="0" w:line="259" w:lineRule="auto"/>
              <w:ind w:left="0" w:firstLine="0"/>
              <w:rPr>
                <w:color w:val="auto"/>
              </w:rPr>
            </w:pPr>
          </w:p>
        </w:tc>
      </w:tr>
      <w:tr w:rsidR="00C01834" w:rsidRPr="00C01834"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C01834" w:rsidRDefault="00830B02" w:rsidP="00D773DA">
            <w:pPr>
              <w:spacing w:after="0" w:line="259" w:lineRule="auto"/>
              <w:ind w:left="0" w:firstLine="0"/>
              <w:rPr>
                <w:color w:val="auto"/>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7777777" w:rsidR="00C01834" w:rsidRPr="00C01834" w:rsidRDefault="00C01834" w:rsidP="00D773DA">
            <w:pPr>
              <w:spacing w:after="0" w:line="259" w:lineRule="auto"/>
              <w:ind w:left="0" w:firstLine="0"/>
              <w:rPr>
                <w:color w:val="auto"/>
              </w:rPr>
            </w:pPr>
          </w:p>
        </w:tc>
      </w:tr>
      <w:tr w:rsidR="00C01834" w:rsidRPr="00C01834" w14:paraId="2AD0B46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E467077" w14:textId="76BE4E7A"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F556A03" w14:textId="77777777" w:rsidR="00C01834" w:rsidRPr="00C01834" w:rsidRDefault="00C01834" w:rsidP="00D773DA">
            <w:pPr>
              <w:spacing w:after="0" w:line="259" w:lineRule="auto"/>
              <w:ind w:left="0" w:firstLine="0"/>
              <w:rPr>
                <w:color w:val="auto"/>
              </w:rPr>
            </w:pPr>
          </w:p>
        </w:tc>
      </w:tr>
    </w:tbl>
    <w:p w14:paraId="23A5BFEB" w14:textId="77777777" w:rsidR="00C01834" w:rsidRPr="00C01834" w:rsidRDefault="00C01834" w:rsidP="00C01834">
      <w:pPr>
        <w:spacing w:after="11" w:line="259" w:lineRule="auto"/>
        <w:jc w:val="center"/>
        <w:rPr>
          <w:b/>
          <w:color w:val="auto"/>
          <w:sz w:val="24"/>
        </w:rPr>
      </w:pPr>
    </w:p>
    <w:p w14:paraId="28C04E73" w14:textId="58D90B75" w:rsidR="00C01834" w:rsidRDefault="00C01834" w:rsidP="00C01834">
      <w:pPr>
        <w:spacing w:after="11" w:line="259" w:lineRule="auto"/>
        <w:ind w:left="0" w:firstLine="0"/>
        <w:jc w:val="center"/>
        <w:rPr>
          <w:color w:val="auto"/>
        </w:rPr>
      </w:pPr>
    </w:p>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2252"/>
        <w:gridCol w:w="5387"/>
        <w:gridCol w:w="2551"/>
      </w:tblGrid>
      <w:tr w:rsidR="00CA3ACF" w:rsidRPr="00C01834" w14:paraId="578ED830" w14:textId="77777777" w:rsidTr="009A30E1">
        <w:trPr>
          <w:trHeight w:val="265"/>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1BD1B80F" w14:textId="51AACD45" w:rsidR="00CA3ACF" w:rsidRPr="00CA3ACF" w:rsidRDefault="001835B6" w:rsidP="00CA3ACF">
            <w:pPr>
              <w:pStyle w:val="Akapitzlist"/>
              <w:numPr>
                <w:ilvl w:val="0"/>
                <w:numId w:val="1"/>
              </w:numPr>
              <w:spacing w:after="0" w:line="259" w:lineRule="auto"/>
              <w:ind w:right="235"/>
              <w:rPr>
                <w:b/>
                <w:smallCaps/>
                <w:color w:val="auto"/>
              </w:rPr>
            </w:pPr>
            <w:bookmarkStart w:id="1" w:name="_Hlk33527891"/>
            <w:r>
              <w:rPr>
                <w:b/>
                <w:smallCaps/>
                <w:color w:val="auto"/>
                <w:sz w:val="24"/>
                <w:lang w:val="en-US"/>
              </w:rPr>
              <w:t>Classes</w:t>
            </w:r>
          </w:p>
        </w:tc>
      </w:tr>
      <w:tr w:rsidR="001835B6" w:rsidRPr="00C01834" w14:paraId="4EFDCA89" w14:textId="658C43A8" w:rsidTr="00A3096F">
        <w:trPr>
          <w:trHeight w:val="265"/>
        </w:trPr>
        <w:tc>
          <w:tcPr>
            <w:tcW w:w="2252" w:type="dxa"/>
            <w:tcBorders>
              <w:top w:val="single" w:sz="6" w:space="0" w:color="AAAAAA"/>
              <w:left w:val="single" w:sz="6" w:space="0" w:color="AAAAAA"/>
              <w:bottom w:val="single" w:sz="6" w:space="0" w:color="AAAAAA"/>
              <w:right w:val="single" w:sz="6" w:space="0" w:color="AAAAAA"/>
            </w:tcBorders>
            <w:vAlign w:val="center"/>
          </w:tcPr>
          <w:p w14:paraId="748E4E77" w14:textId="04C1BEEB" w:rsidR="001835B6" w:rsidRPr="00C01834" w:rsidRDefault="001835B6" w:rsidP="00D773DA">
            <w:pPr>
              <w:spacing w:after="0" w:line="259" w:lineRule="auto"/>
              <w:ind w:left="5" w:firstLine="0"/>
              <w:rPr>
                <w:color w:val="auto"/>
              </w:rPr>
            </w:pPr>
            <w:r>
              <w:rPr>
                <w:b/>
                <w:color w:val="auto"/>
                <w:lang w:val="en-US"/>
              </w:rPr>
              <w:t>Form of class</w:t>
            </w:r>
          </w:p>
        </w:tc>
        <w:tc>
          <w:tcPr>
            <w:tcW w:w="5387" w:type="dxa"/>
            <w:tcBorders>
              <w:top w:val="single" w:sz="6" w:space="0" w:color="AAAAAA"/>
              <w:left w:val="single" w:sz="6" w:space="0" w:color="AAAAAA"/>
              <w:bottom w:val="single" w:sz="6" w:space="0" w:color="AAAAAA"/>
              <w:right w:val="single" w:sz="6" w:space="0" w:color="AAAAAA"/>
            </w:tcBorders>
            <w:vAlign w:val="center"/>
          </w:tcPr>
          <w:p w14:paraId="12653062" w14:textId="58CD7D77" w:rsidR="001835B6" w:rsidRPr="00C01834" w:rsidRDefault="001835B6" w:rsidP="00D773DA">
            <w:pPr>
              <w:spacing w:after="0" w:line="259" w:lineRule="auto"/>
              <w:ind w:left="0" w:firstLine="0"/>
              <w:rPr>
                <w:color w:val="auto"/>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510C661D" w14:textId="6DC41691" w:rsidR="001835B6" w:rsidRPr="00C01834" w:rsidRDefault="001835B6" w:rsidP="00A3096F">
            <w:pPr>
              <w:spacing w:after="0" w:line="259" w:lineRule="auto"/>
              <w:ind w:left="0" w:right="235" w:firstLine="0"/>
              <w:rPr>
                <w:b/>
                <w:color w:val="auto"/>
              </w:rPr>
            </w:pPr>
            <w:r>
              <w:rPr>
                <w:b/>
                <w:color w:val="auto"/>
                <w:lang w:val="en-US"/>
              </w:rPr>
              <w:t>Effects of Learning</w:t>
            </w:r>
          </w:p>
        </w:tc>
      </w:tr>
      <w:tr w:rsidR="001835B6" w:rsidRPr="00C01834" w14:paraId="1F8A43F4" w14:textId="63B63775" w:rsidTr="00CA3ACF">
        <w:trPr>
          <w:trHeight w:val="265"/>
        </w:trPr>
        <w:tc>
          <w:tcPr>
            <w:tcW w:w="22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94FC6AD" w14:textId="11E55BCF" w:rsidR="001835B6" w:rsidRPr="00C01834" w:rsidRDefault="00204148" w:rsidP="00D773DA">
            <w:pPr>
              <w:spacing w:after="0" w:line="259" w:lineRule="auto"/>
              <w:ind w:left="5" w:firstLine="0"/>
              <w:jc w:val="center"/>
              <w:rPr>
                <w:color w:val="auto"/>
              </w:rPr>
            </w:pPr>
            <w:r>
              <w:rPr>
                <w:color w:val="auto"/>
              </w:rPr>
              <w:t>W1</w:t>
            </w:r>
          </w:p>
        </w:tc>
        <w:tc>
          <w:tcPr>
            <w:tcW w:w="53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3ED0141" w14:textId="5DC559A9" w:rsidR="00204148" w:rsidRPr="00204148" w:rsidRDefault="00204148" w:rsidP="00204148">
            <w:pPr>
              <w:spacing w:after="0" w:line="259" w:lineRule="auto"/>
              <w:ind w:left="0" w:firstLine="0"/>
              <w:rPr>
                <w:color w:val="auto"/>
              </w:rPr>
            </w:pPr>
            <w:r w:rsidRPr="00204148">
              <w:rPr>
                <w:color w:val="auto"/>
              </w:rPr>
              <w:t>Clinical anatomy of primary and immature permanent teeth</w:t>
            </w:r>
            <w:r w:rsidRPr="00204148">
              <w:rPr>
                <w:color w:val="auto"/>
              </w:rPr>
              <w:tab/>
              <w:t>Anatomic features of primary and immature permanent teeth</w:t>
            </w:r>
            <w:r>
              <w:rPr>
                <w:color w:val="auto"/>
              </w:rPr>
              <w:t xml:space="preserve">. </w:t>
            </w:r>
            <w:r w:rsidRPr="00204148">
              <w:rPr>
                <w:color w:val="auto"/>
              </w:rPr>
              <w:t>Most common anatomic variants</w:t>
            </w:r>
          </w:p>
          <w:p w14:paraId="3655D3DC" w14:textId="77777777" w:rsidR="00204148" w:rsidRPr="00204148" w:rsidRDefault="00204148" w:rsidP="00204148">
            <w:pPr>
              <w:spacing w:after="0" w:line="259" w:lineRule="auto"/>
              <w:ind w:left="0" w:firstLine="0"/>
              <w:rPr>
                <w:color w:val="auto"/>
              </w:rPr>
            </w:pPr>
            <w:r w:rsidRPr="00204148">
              <w:rPr>
                <w:color w:val="auto"/>
              </w:rPr>
              <w:t>Clinical importance of the clinical variants</w:t>
            </w:r>
          </w:p>
          <w:p w14:paraId="0485E40C" w14:textId="15AD7012" w:rsidR="001835B6" w:rsidRPr="00C01834" w:rsidRDefault="00204148" w:rsidP="00204148">
            <w:pPr>
              <w:spacing w:after="0" w:line="259" w:lineRule="auto"/>
              <w:ind w:left="0" w:firstLine="0"/>
              <w:rPr>
                <w:color w:val="auto"/>
              </w:rPr>
            </w:pPr>
            <w:r w:rsidRPr="00204148">
              <w:rPr>
                <w:color w:val="auto"/>
              </w:rPr>
              <w:t>Differentiation of primary and immature permanent teeth</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7A63EF" w14:textId="77777777" w:rsidR="001835B6" w:rsidRPr="00C01834" w:rsidRDefault="001835B6" w:rsidP="00A3096F">
            <w:pPr>
              <w:spacing w:after="0" w:line="259" w:lineRule="auto"/>
              <w:ind w:left="0" w:right="7996" w:firstLine="0"/>
              <w:rPr>
                <w:color w:val="auto"/>
              </w:rPr>
            </w:pPr>
          </w:p>
        </w:tc>
      </w:tr>
      <w:tr w:rsidR="00204148" w:rsidRPr="00C01834" w14:paraId="4AD77307" w14:textId="77777777" w:rsidTr="00CA3ACF">
        <w:trPr>
          <w:trHeight w:val="265"/>
        </w:trPr>
        <w:tc>
          <w:tcPr>
            <w:tcW w:w="22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E0B5CD" w14:textId="26FFCBF3" w:rsidR="00204148" w:rsidRPr="00C01834" w:rsidRDefault="00204148" w:rsidP="00D773DA">
            <w:pPr>
              <w:spacing w:after="0" w:line="259" w:lineRule="auto"/>
              <w:ind w:left="5" w:firstLine="0"/>
              <w:jc w:val="center"/>
              <w:rPr>
                <w:color w:val="auto"/>
              </w:rPr>
            </w:pPr>
            <w:r>
              <w:rPr>
                <w:color w:val="auto"/>
              </w:rPr>
              <w:t>W2</w:t>
            </w:r>
          </w:p>
        </w:tc>
        <w:tc>
          <w:tcPr>
            <w:tcW w:w="53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0AB2E12" w14:textId="46317854" w:rsidR="00204148" w:rsidRPr="00204148" w:rsidRDefault="00204148" w:rsidP="00204148">
            <w:pPr>
              <w:spacing w:after="0" w:line="259" w:lineRule="auto"/>
              <w:ind w:left="0" w:firstLine="0"/>
              <w:rPr>
                <w:color w:val="auto"/>
              </w:rPr>
            </w:pPr>
            <w:r w:rsidRPr="00204148">
              <w:rPr>
                <w:color w:val="auto"/>
              </w:rPr>
              <w:t>Anatomy of mature permanent teeth</w:t>
            </w:r>
            <w:r w:rsidRPr="00204148">
              <w:rPr>
                <w:color w:val="auto"/>
              </w:rPr>
              <w:tab/>
              <w:t>Morphology of the pulp spaces and most common anatomic variants of mature permanent teeth</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135602" w14:textId="77777777" w:rsidR="00204148" w:rsidRPr="00C01834" w:rsidRDefault="00204148" w:rsidP="00A3096F">
            <w:pPr>
              <w:spacing w:after="0" w:line="259" w:lineRule="auto"/>
              <w:ind w:left="0" w:right="7996" w:firstLine="0"/>
              <w:rPr>
                <w:color w:val="auto"/>
              </w:rPr>
            </w:pPr>
          </w:p>
        </w:tc>
      </w:tr>
      <w:tr w:rsidR="001835B6" w:rsidRPr="00C01834" w14:paraId="6B8FA3CA" w14:textId="5258BF42" w:rsidTr="00CA3ACF">
        <w:trPr>
          <w:trHeight w:val="265"/>
        </w:trPr>
        <w:tc>
          <w:tcPr>
            <w:tcW w:w="22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65DA5D5" w14:textId="3E3FE226" w:rsidR="001835B6" w:rsidRPr="00C01834" w:rsidRDefault="00204148" w:rsidP="00D773DA">
            <w:pPr>
              <w:spacing w:after="0" w:line="259" w:lineRule="auto"/>
              <w:ind w:left="5" w:firstLine="0"/>
              <w:jc w:val="center"/>
              <w:rPr>
                <w:color w:val="auto"/>
              </w:rPr>
            </w:pPr>
            <w:r>
              <w:rPr>
                <w:color w:val="auto"/>
              </w:rPr>
              <w:t>W3</w:t>
            </w:r>
          </w:p>
        </w:tc>
        <w:tc>
          <w:tcPr>
            <w:tcW w:w="53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1AFAD14" w14:textId="126D281B" w:rsidR="001835B6" w:rsidRPr="00C01834" w:rsidRDefault="00204148" w:rsidP="00D773DA">
            <w:pPr>
              <w:spacing w:after="0" w:line="259" w:lineRule="auto"/>
              <w:ind w:left="0" w:firstLine="0"/>
              <w:rPr>
                <w:color w:val="auto"/>
              </w:rPr>
            </w:pPr>
            <w:r w:rsidRPr="00204148">
              <w:rPr>
                <w:color w:val="auto"/>
              </w:rPr>
              <w:t>Clinical importance of anatomic variation of permanent teeth in the context of endodontic treatment part 1</w:t>
            </w:r>
            <w:r w:rsidRPr="00204148">
              <w:rPr>
                <w:color w:val="auto"/>
              </w:rPr>
              <w:tab/>
              <w:t>Principles of preparation of the pulp spaces for endodontic treatment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AE3559" w14:textId="77777777" w:rsidR="001835B6" w:rsidRPr="00C01834" w:rsidRDefault="001835B6" w:rsidP="00A3096F">
            <w:pPr>
              <w:spacing w:after="0" w:line="259" w:lineRule="auto"/>
              <w:ind w:left="0" w:right="7996" w:firstLine="0"/>
              <w:rPr>
                <w:color w:val="auto"/>
              </w:rPr>
            </w:pPr>
          </w:p>
        </w:tc>
      </w:tr>
      <w:tr w:rsidR="00204148" w:rsidRPr="00C01834" w14:paraId="38C10FE3" w14:textId="77777777" w:rsidTr="00CA3ACF">
        <w:trPr>
          <w:trHeight w:val="265"/>
        </w:trPr>
        <w:tc>
          <w:tcPr>
            <w:tcW w:w="22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8693A3E" w14:textId="33D3A07A" w:rsidR="00204148" w:rsidRPr="00C01834" w:rsidRDefault="00204148" w:rsidP="00D773DA">
            <w:pPr>
              <w:spacing w:after="0" w:line="259" w:lineRule="auto"/>
              <w:ind w:left="5" w:firstLine="0"/>
              <w:jc w:val="center"/>
              <w:rPr>
                <w:color w:val="auto"/>
              </w:rPr>
            </w:pPr>
            <w:r>
              <w:rPr>
                <w:color w:val="auto"/>
              </w:rPr>
              <w:t>W4</w:t>
            </w:r>
          </w:p>
        </w:tc>
        <w:tc>
          <w:tcPr>
            <w:tcW w:w="53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7EC48E0" w14:textId="072EF081" w:rsidR="00204148" w:rsidRPr="00C01834" w:rsidRDefault="00204148" w:rsidP="00D773DA">
            <w:pPr>
              <w:spacing w:after="0" w:line="259" w:lineRule="auto"/>
              <w:ind w:left="0" w:firstLine="0"/>
              <w:rPr>
                <w:color w:val="auto"/>
              </w:rPr>
            </w:pPr>
            <w:r w:rsidRPr="00204148">
              <w:rPr>
                <w:color w:val="auto"/>
              </w:rPr>
              <w:t>Clinical anatomy of the teeth</w:t>
            </w:r>
            <w:r w:rsidRPr="00204148">
              <w:rPr>
                <w:color w:val="auto"/>
              </w:rPr>
              <w:tab/>
            </w:r>
            <w:r>
              <w:rPr>
                <w:color w:val="auto"/>
              </w:rPr>
              <w:t xml:space="preserve"> </w:t>
            </w:r>
            <w:r w:rsidRPr="00204148">
              <w:rPr>
                <w:color w:val="auto"/>
              </w:rPr>
              <w:t>Radiologic features of normal teeth and the most important anatomic variants in dental radiography, orthopantomography, extraraoral radiography and cone beam computed tomography (CBCT)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EB45F84" w14:textId="77777777" w:rsidR="00204148" w:rsidRPr="00C01834" w:rsidRDefault="00204148" w:rsidP="00A3096F">
            <w:pPr>
              <w:spacing w:after="0" w:line="259" w:lineRule="auto"/>
              <w:ind w:left="0" w:right="7996" w:firstLine="0"/>
              <w:rPr>
                <w:color w:val="auto"/>
              </w:rPr>
            </w:pPr>
          </w:p>
        </w:tc>
      </w:tr>
      <w:tr w:rsidR="00204148" w:rsidRPr="00C01834" w14:paraId="51C035AC" w14:textId="77777777" w:rsidTr="00CA3ACF">
        <w:trPr>
          <w:trHeight w:val="265"/>
        </w:trPr>
        <w:tc>
          <w:tcPr>
            <w:tcW w:w="225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29003D4" w14:textId="41AFD759" w:rsidR="00204148" w:rsidRPr="00C01834" w:rsidRDefault="00204148" w:rsidP="00D773DA">
            <w:pPr>
              <w:spacing w:after="0" w:line="259" w:lineRule="auto"/>
              <w:ind w:left="5" w:firstLine="0"/>
              <w:jc w:val="center"/>
              <w:rPr>
                <w:color w:val="auto"/>
              </w:rPr>
            </w:pPr>
            <w:r w:rsidRPr="00204148">
              <w:rPr>
                <w:color w:val="auto"/>
              </w:rPr>
              <w:t>W5,W6</w:t>
            </w:r>
          </w:p>
        </w:tc>
        <w:tc>
          <w:tcPr>
            <w:tcW w:w="538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9EFBD7F" w14:textId="43F78347" w:rsidR="00204148" w:rsidRPr="00204148" w:rsidRDefault="00204148" w:rsidP="00D773DA">
            <w:pPr>
              <w:spacing w:after="0" w:line="259" w:lineRule="auto"/>
              <w:ind w:left="0" w:firstLine="0"/>
              <w:rPr>
                <w:color w:val="auto"/>
              </w:rPr>
            </w:pPr>
            <w:r w:rsidRPr="00204148">
              <w:rPr>
                <w:color w:val="auto"/>
              </w:rPr>
              <w:t>Clinical importance of anatomic variation of permanent teeth in the context of endodontic treatment part 2</w:t>
            </w:r>
            <w:r w:rsidRPr="00204148">
              <w:rPr>
                <w:color w:val="auto"/>
              </w:rPr>
              <w:tab/>
              <w:t>Principles of preparation of  root cannals for endodontic treatment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45970A" w14:textId="77777777" w:rsidR="00204148" w:rsidRPr="00C01834" w:rsidRDefault="00204148" w:rsidP="00A3096F">
            <w:pPr>
              <w:spacing w:after="0" w:line="259" w:lineRule="auto"/>
              <w:ind w:left="0" w:right="7996" w:firstLine="0"/>
              <w:rPr>
                <w:color w:val="auto"/>
              </w:rPr>
            </w:pPr>
          </w:p>
        </w:tc>
      </w:tr>
      <w:bookmarkEnd w:id="1"/>
    </w:tbl>
    <w:p w14:paraId="346E8384" w14:textId="77777777" w:rsidR="00014630" w:rsidRDefault="00014630" w:rsidP="00E55362">
      <w:pPr>
        <w:pStyle w:val="Nagwek1"/>
        <w:spacing w:after="0"/>
        <w:ind w:left="0" w:firstLine="0"/>
        <w:jc w:val="left"/>
        <w:rPr>
          <w:color w:val="auto"/>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014630">
            <w:pPr>
              <w:pStyle w:val="Akapitzlist"/>
              <w:numPr>
                <w:ilvl w:val="0"/>
                <w:numId w:val="1"/>
              </w:numPr>
              <w:spacing w:after="0" w:line="259" w:lineRule="auto"/>
              <w:ind w:right="235"/>
              <w:rPr>
                <w:b/>
                <w:smallCaps/>
                <w:color w:val="auto"/>
              </w:rPr>
            </w:pPr>
            <w:bookmarkStart w:id="2"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C01834" w:rsidRDefault="006B2EFD" w:rsidP="009E3ED7">
            <w:pPr>
              <w:spacing w:after="0" w:line="259" w:lineRule="auto"/>
              <w:ind w:left="0" w:right="235" w:firstLine="0"/>
              <w:rPr>
                <w:b/>
                <w:color w:val="auto"/>
              </w:rPr>
            </w:pPr>
            <w:r>
              <w:rPr>
                <w:b/>
                <w:color w:val="auto"/>
                <w:lang w:val="en-US"/>
              </w:rPr>
              <w:t>Obligatory</w:t>
            </w:r>
          </w:p>
        </w:tc>
      </w:tr>
      <w:bookmarkEnd w:id="2"/>
      <w:tr w:rsidR="00014630" w:rsidRPr="00C01834"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A2C6BC7" w14:textId="77777777" w:rsidR="00D66427" w:rsidRDefault="00D66427" w:rsidP="00D66427">
            <w:pPr>
              <w:pStyle w:val="Tre"/>
              <w:spacing w:before="120"/>
              <w:rPr>
                <w:b/>
                <w:bCs/>
                <w:sz w:val="20"/>
                <w:szCs w:val="20"/>
              </w:rPr>
            </w:pPr>
            <w:r>
              <w:rPr>
                <w:b/>
                <w:bCs/>
                <w:sz w:val="20"/>
                <w:szCs w:val="20"/>
                <w:lang w:val="en-US"/>
              </w:rPr>
              <w:t>Obligatory literature/textbooks:</w:t>
            </w:r>
          </w:p>
          <w:p w14:paraId="652F684A" w14:textId="77777777" w:rsidR="00D66427" w:rsidRDefault="00D66427" w:rsidP="00D66427">
            <w:pPr>
              <w:pStyle w:val="Tre"/>
              <w:numPr>
                <w:ilvl w:val="0"/>
                <w:numId w:val="8"/>
              </w:numPr>
              <w:rPr>
                <w:lang w:val="en-US"/>
              </w:rPr>
            </w:pPr>
            <w:r>
              <w:rPr>
                <w:lang w:val="en-US"/>
              </w:rPr>
              <w:t xml:space="preserve"> Nelson SJ. Wheeler’s Dental Anatomy. </w:t>
            </w:r>
            <w:r>
              <w:rPr>
                <w:lang w:val="de-DE"/>
              </w:rPr>
              <w:t>Saunders Elsevier 2010</w:t>
            </w:r>
          </w:p>
          <w:p w14:paraId="66C0C528" w14:textId="77777777" w:rsidR="00D66427" w:rsidRPr="00E40DF6" w:rsidRDefault="00D66427" w:rsidP="00D66427">
            <w:pPr>
              <w:pStyle w:val="Akapitzlist"/>
              <w:numPr>
                <w:ilvl w:val="0"/>
                <w:numId w:val="9"/>
              </w:numPr>
              <w:pBdr>
                <w:top w:val="nil"/>
                <w:left w:val="nil"/>
                <w:bottom w:val="nil"/>
                <w:right w:val="nil"/>
                <w:between w:val="nil"/>
                <w:bar w:val="nil"/>
              </w:pBdr>
              <w:spacing w:after="200" w:line="276" w:lineRule="auto"/>
              <w:contextualSpacing w:val="0"/>
              <w:rPr>
                <w:sz w:val="24"/>
                <w:szCs w:val="24"/>
              </w:rPr>
            </w:pPr>
            <w:r>
              <w:rPr>
                <w:rFonts w:ascii="Times New Roman" w:hAnsi="Times New Roman"/>
                <w:sz w:val="24"/>
                <w:szCs w:val="24"/>
              </w:rPr>
              <w:t xml:space="preserve"> Tronstadt L., Clinical endodontics: a textbook, 3rd edition, Georg Thieme Verlag, 2009</w:t>
            </w:r>
          </w:p>
          <w:p w14:paraId="10528821" w14:textId="2B3CBF9A" w:rsidR="00014630" w:rsidRPr="00C01834" w:rsidRDefault="00D66427" w:rsidP="00D66427">
            <w:pPr>
              <w:spacing w:after="0" w:line="259" w:lineRule="auto"/>
              <w:ind w:left="0" w:right="7996" w:firstLine="0"/>
              <w:rPr>
                <w:color w:val="auto"/>
              </w:rPr>
            </w:pPr>
            <w:r>
              <w:rPr>
                <w:sz w:val="20"/>
                <w:szCs w:val="20"/>
                <w:lang w:val="en-US"/>
              </w:rPr>
              <w:t>10th edition, Mosby Elsevier 2011,</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14630" w:rsidRDefault="006B2EFD" w:rsidP="009E3ED7">
            <w:pPr>
              <w:spacing w:after="0" w:line="259" w:lineRule="auto"/>
              <w:ind w:left="0" w:right="7996" w:firstLine="0"/>
              <w:rPr>
                <w:b/>
                <w:bCs/>
                <w:color w:val="auto"/>
              </w:rPr>
            </w:pPr>
            <w:r>
              <w:rPr>
                <w:b/>
                <w:bCs/>
                <w:color w:val="auto"/>
                <w:lang w:val="en-US"/>
              </w:rPr>
              <w:t>Supplementary</w:t>
            </w:r>
          </w:p>
        </w:tc>
      </w:tr>
      <w:tr w:rsidR="006B2EFD" w:rsidRPr="00C01834"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EC00467" w14:textId="77777777" w:rsidR="00D66427" w:rsidRPr="00BD7603" w:rsidRDefault="00D66427" w:rsidP="00D66427">
            <w:pPr>
              <w:pStyle w:val="Tre"/>
              <w:spacing w:before="120"/>
              <w:rPr>
                <w:sz w:val="20"/>
                <w:szCs w:val="20"/>
                <w:lang w:val="en-US"/>
              </w:rPr>
            </w:pPr>
            <w:r>
              <w:rPr>
                <w:sz w:val="20"/>
                <w:szCs w:val="20"/>
                <w:lang w:val="en-US"/>
              </w:rPr>
              <w:t>1.</w:t>
            </w:r>
            <w:r>
              <w:rPr>
                <w:sz w:val="20"/>
                <w:szCs w:val="20"/>
                <w:lang w:val="en-US"/>
              </w:rPr>
              <w:tab/>
              <w:t xml:space="preserve">Torabinejad  M., Walton R.E., Endodontics, principles and practice, 5th edition, Saunders Elsevier 2009, </w:t>
            </w:r>
          </w:p>
          <w:p w14:paraId="47BFFACE" w14:textId="18FE41FD" w:rsidR="006B2EFD" w:rsidRPr="00C01834" w:rsidRDefault="00D66427" w:rsidP="00D66427">
            <w:pPr>
              <w:spacing w:after="0" w:line="259" w:lineRule="auto"/>
              <w:ind w:left="0" w:right="7996" w:firstLine="0"/>
              <w:rPr>
                <w:color w:val="auto"/>
              </w:rPr>
            </w:pPr>
            <w:r>
              <w:rPr>
                <w:sz w:val="20"/>
                <w:szCs w:val="20"/>
                <w:lang w:val="en-US"/>
              </w:rPr>
              <w:t>2.</w:t>
            </w:r>
            <w:r>
              <w:rPr>
                <w:sz w:val="20"/>
                <w:szCs w:val="20"/>
                <w:lang w:val="en-US"/>
              </w:rPr>
              <w:tab/>
              <w:t>Cohen S., Hargreaves</w:t>
            </w:r>
            <w:r>
              <w:rPr>
                <w:sz w:val="20"/>
                <w:szCs w:val="20"/>
                <w:lang w:val="en-US"/>
              </w:rPr>
              <w:t xml:space="preserve"> K.M., </w:t>
            </w:r>
            <w:r>
              <w:rPr>
                <w:sz w:val="20"/>
                <w:szCs w:val="20"/>
                <w:lang w:val="en-US"/>
              </w:rPr>
              <w:t>Pathways of the Pulp, 10th edition, Mosby Elsevier 2011,</w:t>
            </w:r>
          </w:p>
        </w:tc>
      </w:tr>
    </w:tbl>
    <w:p w14:paraId="4742B585" w14:textId="7E4DA10D" w:rsidR="00C01834" w:rsidRPr="00E55362" w:rsidRDefault="00C01834" w:rsidP="00E55362">
      <w:pPr>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C01834"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014630" w:rsidRDefault="00436457" w:rsidP="00014630">
            <w:pPr>
              <w:pStyle w:val="Nagwek1"/>
              <w:numPr>
                <w:ilvl w:val="0"/>
                <w:numId w:val="1"/>
              </w:numPr>
              <w:spacing w:after="241"/>
              <w:jc w:val="left"/>
              <w:outlineLvl w:val="0"/>
              <w:rPr>
                <w:smallCaps/>
                <w:color w:val="auto"/>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C01834" w:rsidRDefault="00435422" w:rsidP="00D773DA">
            <w:pPr>
              <w:spacing w:after="0" w:line="259" w:lineRule="auto"/>
              <w:ind w:left="33" w:firstLine="0"/>
              <w:jc w:val="center"/>
              <w:rPr>
                <w:color w:val="auto"/>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C01834" w:rsidRDefault="00435422" w:rsidP="00D773DA">
            <w:pPr>
              <w:spacing w:after="0" w:line="259" w:lineRule="auto"/>
              <w:ind w:left="33" w:firstLine="0"/>
              <w:jc w:val="center"/>
              <w:rPr>
                <w:color w:val="auto"/>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C01834"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5A33A4AF" w:rsidR="00A3096F" w:rsidRPr="00AD2F54" w:rsidRDefault="00B463A3" w:rsidP="00521FFA">
            <w:pPr>
              <w:spacing w:after="0" w:line="259" w:lineRule="auto"/>
              <w:ind w:left="0" w:firstLine="0"/>
              <w:rPr>
                <w:i/>
                <w:iCs/>
                <w:color w:val="auto"/>
              </w:rPr>
            </w:pPr>
            <w:r w:rsidRPr="007766DD">
              <w:rPr>
                <w:i/>
                <w:iCs/>
                <w:color w:val="auto"/>
                <w:sz w:val="16"/>
                <w:szCs w:val="20"/>
                <w:lang w:val="en-US"/>
              </w:rPr>
              <w:t>e.g</w:t>
            </w:r>
            <w:r w:rsidR="00A3096F" w:rsidRPr="007766DD">
              <w:rPr>
                <w:i/>
                <w:iCs/>
                <w:color w:val="auto"/>
                <w:sz w:val="16"/>
                <w:szCs w:val="20"/>
                <w:lang w:val="en-US"/>
              </w:rPr>
              <w:t>.</w:t>
            </w:r>
            <w:r w:rsidR="00A3096F" w:rsidRPr="00AD2F54">
              <w:rPr>
                <w:i/>
                <w:iCs/>
                <w:color w:val="auto"/>
                <w:sz w:val="16"/>
                <w:szCs w:val="20"/>
              </w:rPr>
              <w:t xml:space="preserve"> </w:t>
            </w:r>
            <w:r w:rsidR="00521FFA">
              <w:rPr>
                <w:i/>
                <w:iCs/>
                <w:color w:val="auto"/>
                <w:sz w:val="16"/>
                <w:szCs w:val="20"/>
              </w:rPr>
              <w:t>G</w:t>
            </w:r>
            <w:r w:rsidR="00A3096F" w:rsidRPr="00AD2F54">
              <w:rPr>
                <w:i/>
                <w:iCs/>
                <w:color w:val="auto"/>
                <w:sz w:val="16"/>
                <w:szCs w:val="20"/>
              </w:rPr>
              <w:t>.</w:t>
            </w:r>
            <w:r w:rsidR="00521FFA">
              <w:rPr>
                <w:i/>
                <w:iCs/>
                <w:color w:val="auto"/>
                <w:sz w:val="16"/>
                <w:szCs w:val="20"/>
              </w:rPr>
              <w:t>K</w:t>
            </w:r>
            <w:r w:rsidR="00A3096F" w:rsidRPr="00AD2F54">
              <w:rPr>
                <w:i/>
                <w:iCs/>
                <w:color w:val="auto"/>
                <w:sz w:val="16"/>
                <w:szCs w:val="20"/>
              </w:rPr>
              <w:t xml:space="preserve">1, </w:t>
            </w:r>
            <w:r w:rsidR="00521FFA">
              <w:rPr>
                <w:i/>
                <w:iCs/>
                <w:color w:val="auto"/>
                <w:sz w:val="16"/>
                <w:szCs w:val="20"/>
              </w:rPr>
              <w:t>G</w:t>
            </w:r>
            <w:r w:rsidR="00A3096F" w:rsidRPr="00AD2F54">
              <w:rPr>
                <w:i/>
                <w:iCs/>
                <w:color w:val="auto"/>
                <w:sz w:val="16"/>
                <w:szCs w:val="20"/>
              </w:rPr>
              <w:t>.</w:t>
            </w:r>
            <w:r w:rsidR="00521FFA">
              <w:rPr>
                <w:i/>
                <w:iCs/>
                <w:color w:val="auto"/>
                <w:sz w:val="16"/>
                <w:szCs w:val="20"/>
              </w:rPr>
              <w:t>S</w:t>
            </w:r>
            <w:r w:rsidR="00A3096F" w:rsidRPr="00AD2F54">
              <w:rPr>
                <w:i/>
                <w:iCs/>
                <w:color w:val="auto"/>
                <w:sz w:val="16"/>
                <w:szCs w:val="20"/>
              </w:rPr>
              <w:t xml:space="preserve">1, </w:t>
            </w:r>
            <w:r w:rsidR="00521FFA">
              <w:rPr>
                <w:i/>
                <w:iCs/>
                <w:color w:val="auto"/>
                <w:sz w:val="16"/>
                <w:szCs w:val="20"/>
              </w:rPr>
              <w:t>K</w:t>
            </w:r>
            <w:r w:rsidR="00A3096F" w:rsidRPr="00AD2F54">
              <w:rPr>
                <w:i/>
                <w:iCs/>
                <w:color w:val="auto"/>
                <w:sz w:val="16"/>
                <w:szCs w:val="20"/>
              </w:rPr>
              <w:t>1</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4EA3763B" w:rsidR="00A3096F" w:rsidRPr="00AD2F54" w:rsidRDefault="00521FFA" w:rsidP="00D773DA">
            <w:pPr>
              <w:spacing w:after="0" w:line="259" w:lineRule="auto"/>
              <w:ind w:left="0" w:firstLine="0"/>
              <w:rPr>
                <w:i/>
                <w:iCs/>
                <w:color w:val="auto"/>
              </w:rPr>
            </w:pPr>
            <w:r>
              <w:rPr>
                <w:i/>
                <w:iCs/>
                <w:color w:val="auto"/>
                <w:sz w:val="16"/>
                <w:szCs w:val="20"/>
                <w:lang w:val="en-US"/>
              </w:rPr>
              <w:t>This field defines the methods used for grading students e.g. pop quiz, test, written report etc.</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3D0644F3" w:rsidR="00A3096F" w:rsidRPr="00AD2F54" w:rsidRDefault="00435422" w:rsidP="00435422">
            <w:pPr>
              <w:spacing w:after="0" w:line="259" w:lineRule="auto"/>
              <w:ind w:left="0" w:firstLine="0"/>
              <w:rPr>
                <w:i/>
                <w:iCs/>
                <w:color w:val="auto"/>
              </w:rPr>
            </w:pPr>
            <w:r>
              <w:rPr>
                <w:i/>
                <w:iCs/>
                <w:color w:val="auto"/>
                <w:sz w:val="16"/>
                <w:szCs w:val="20"/>
                <w:lang w:val="en-US"/>
              </w:rPr>
              <w:t xml:space="preserve">e.g. </w:t>
            </w:r>
            <w:r w:rsidRPr="00CD27EC">
              <w:rPr>
                <w:i/>
                <w:iCs/>
                <w:color w:val="auto"/>
                <w:sz w:val="16"/>
                <w:szCs w:val="20"/>
                <w:lang w:val="en-US"/>
              </w:rPr>
              <w:t xml:space="preserve"> </w:t>
            </w:r>
            <w:r>
              <w:rPr>
                <w:i/>
                <w:iCs/>
                <w:color w:val="auto"/>
                <w:sz w:val="16"/>
                <w:szCs w:val="20"/>
                <w:lang w:val="en-US"/>
              </w:rPr>
              <w:t>threshold number of points</w:t>
            </w:r>
          </w:p>
        </w:tc>
      </w:tr>
      <w:tr w:rsidR="00A3096F" w:rsidRPr="00C01834"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6D363CC8" w:rsidR="00A3096F" w:rsidRPr="00C01834" w:rsidRDefault="00D66427" w:rsidP="00D773DA">
            <w:pPr>
              <w:spacing w:after="0" w:line="259" w:lineRule="auto"/>
              <w:ind w:left="0" w:firstLine="0"/>
              <w:rPr>
                <w:color w:val="auto"/>
              </w:rPr>
            </w:pPr>
            <w:r>
              <w:rPr>
                <w:color w:val="auto"/>
              </w:rPr>
              <w:lastRenderedPageBreak/>
              <w:t>W1-W6</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598D7B53" w:rsidR="00A3096F" w:rsidRPr="00C01834" w:rsidRDefault="00D66427" w:rsidP="00D66427">
            <w:pPr>
              <w:spacing w:after="0" w:line="259" w:lineRule="auto"/>
              <w:ind w:left="0" w:firstLine="0"/>
              <w:rPr>
                <w:color w:val="auto"/>
              </w:rPr>
            </w:pPr>
            <w:r w:rsidRPr="00D66427">
              <w:rPr>
                <w:color w:val="auto"/>
              </w:rPr>
              <w:t>Presence on the seminars. Evaluation of the involvement in discussions.</w:t>
            </w:r>
            <w:r w:rsidRPr="00D66427">
              <w:rPr>
                <w:color w:val="auto"/>
              </w:rPr>
              <w:tab/>
              <w: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72477FAD" w:rsidR="00A3096F" w:rsidRPr="00C01834" w:rsidRDefault="00D66427" w:rsidP="00D773DA">
            <w:pPr>
              <w:spacing w:after="0" w:line="259" w:lineRule="auto"/>
              <w:ind w:left="0" w:firstLine="0"/>
              <w:rPr>
                <w:color w:val="auto"/>
              </w:rPr>
            </w:pPr>
            <w:r w:rsidRPr="00D66427">
              <w:rPr>
                <w:color w:val="auto"/>
              </w:rPr>
              <w:t>Presence and active participation in seminars. Obtaining a positive grade from teacher leading classes</w:t>
            </w:r>
          </w:p>
        </w:tc>
      </w:tr>
    </w:tbl>
    <w:p w14:paraId="436EE3ED" w14:textId="77777777" w:rsidR="00C01834" w:rsidRPr="00E55362" w:rsidRDefault="00C01834" w:rsidP="00E55362">
      <w:pPr>
        <w:spacing w:after="0" w:line="264" w:lineRule="auto"/>
        <w:ind w:left="-6" w:hanging="11"/>
        <w:rPr>
          <w:b/>
          <w:color w:val="auto"/>
          <w:sz w:val="24"/>
          <w:szCs w:val="24"/>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014630"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E55362" w:rsidRDefault="00A8216C" w:rsidP="00E55362">
            <w:pPr>
              <w:pStyle w:val="Akapitzlist"/>
              <w:numPr>
                <w:ilvl w:val="0"/>
                <w:numId w:val="1"/>
              </w:numPr>
              <w:jc w:val="center"/>
              <w:rPr>
                <w:i/>
                <w:iCs/>
                <w:color w:val="auto"/>
                <w:sz w:val="16"/>
                <w:szCs w:val="16"/>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C01834"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77E6E8D" w14:textId="0C134967" w:rsidR="00014630" w:rsidRPr="00C01834" w:rsidRDefault="00D66427" w:rsidP="009E3ED7">
            <w:pPr>
              <w:spacing w:after="0" w:line="259" w:lineRule="auto"/>
              <w:ind w:left="0" w:right="235" w:firstLine="0"/>
              <w:rPr>
                <w:b/>
                <w:color w:val="auto"/>
              </w:rPr>
            </w:pPr>
            <w:r>
              <w:rPr>
                <w:rFonts w:eastAsia="Arial Unicode MS" w:cs="Arial Unicode MS"/>
                <w:lang w:val="en-US"/>
              </w:rPr>
              <w:t xml:space="preserve">Students may join the Student Club of  the Department of Comprehensive Dentistry, tutor Katarzyna Brus-Sawczuk DMD,PhD, contact: the administrative office of the Department of Dental Comprehensive Care. </w:t>
            </w:r>
            <w:r w:rsidRPr="000F007F">
              <w:rPr>
                <w:rFonts w:eastAsia="Arial Unicode MS" w:cs="Arial Unicode MS"/>
                <w:lang w:val="en-US"/>
              </w:rPr>
              <w:t>"Katarzyna.brus Sawczuk" &lt;katarzyna.brus-sawczuk@wum.edu.pl&gt;</w:t>
            </w:r>
          </w:p>
        </w:tc>
      </w:tr>
    </w:tbl>
    <w:p w14:paraId="38D22AA0" w14:textId="22066D4D" w:rsidR="00F016D9" w:rsidRPr="00A3096F" w:rsidRDefault="00F016D9" w:rsidP="00E55362">
      <w:pPr>
        <w:ind w:left="0" w:firstLine="0"/>
        <w:rPr>
          <w:i/>
          <w:iCs/>
          <w:color w:val="auto"/>
          <w:sz w:val="16"/>
          <w:szCs w:val="16"/>
        </w:rPr>
      </w:pPr>
    </w:p>
    <w:sectPr w:rsidR="00F016D9" w:rsidRPr="00A3096F">
      <w:headerReference w:type="default" r:id="rId9"/>
      <w:footerReference w:type="even" r:id="rId10"/>
      <w:footerReference w:type="default" r:id="rId11"/>
      <w:footerReference w:type="first" r:id="rId12"/>
      <w:pgSz w:w="11906" w:h="16838"/>
      <w:pgMar w:top="1141" w:right="874" w:bottom="1451" w:left="850" w:header="708" w:footer="8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7155" w14:textId="77777777" w:rsidR="008D0C34" w:rsidRDefault="008D0C34">
      <w:pPr>
        <w:spacing w:after="0" w:line="240" w:lineRule="auto"/>
      </w:pPr>
      <w:r>
        <w:separator/>
      </w:r>
    </w:p>
  </w:endnote>
  <w:endnote w:type="continuationSeparator" w:id="0">
    <w:p w14:paraId="6D73BDA8" w14:textId="77777777" w:rsidR="008D0C34" w:rsidRDefault="008D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7977AEF"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X8skA&#10;AADeAAAADwAAAGRycy9kb3ducmV2LnhtbESPT2vCQBTE7wW/w/IK3uqmWv+QukqRCD0Itrb2/Mw+&#10;k9js25hdk/jtXaHQ4zAzv2Hmy86UoqHaFZYVPA8iEMSp1QVnCr6/1k8zEM4jaywtk4IrOVgueg9z&#10;jLVt+ZOanc9EgLCLUUHufRVL6dKcDLqBrYiDd7S1QR9knUldYxvgppTDKJpIgwWHhRwrWuWU/u4u&#10;RsHP9Zi8HDanaXNozGibtNHHeZ8o1X/s3l5BeOr8f/iv/a4VjCbD8RTud8IV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9OX8skAAADeAAAADwAAAAAAAAAAAAAAAACYAgAA&#10;ZHJzL2Rvd25yZXYueG1sUEsFBgAAAAAEAAQA9QAAAI4DA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E6CD2CD"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BL8gA&#10;AADeAAAADwAAAGRycy9kb3ducmV2LnhtbESPT2vCQBTE74LfYXmF3nRTFZXoKiIp9FBo67/zM/tM&#10;otm3aXabxG/fLRQ8DjPzG2a57kwpGqpdYVnByzACQZxaXXCm4LB/HcxBOI+ssbRMCu7kYL3q95YY&#10;a9vyFzU7n4kAYRejgtz7KpbSpTkZdENbEQfvYmuDPsg6k7rGNsBNKUdRNJUGCw4LOVa0zSm97X6M&#10;gtP9kkzO79dZc27M+CNpo8/vY6LU81O3WYDw1PlH+L/9phWMp6PJ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gEv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D66427" w:rsidRPr="00D66427">
      <w:rPr>
        <w:noProof/>
        <w:sz w:val="22"/>
      </w:rPr>
      <w:t>6</w:t>
    </w:r>
    <w:r>
      <w:rPr>
        <w:sz w:val="22"/>
      </w:rPr>
      <w:fldChar w:fldCharType="end"/>
    </w:r>
    <w:r>
      <w:rPr>
        <w:sz w:val="22"/>
      </w:rPr>
      <w:t xml:space="preserve"> / </w:t>
    </w:r>
    <w:r w:rsidR="007D5940">
      <w:rPr>
        <w:noProof/>
        <w:sz w:val="22"/>
      </w:rPr>
      <w:fldChar w:fldCharType="begin"/>
    </w:r>
    <w:r w:rsidR="007D5940">
      <w:rPr>
        <w:noProof/>
        <w:sz w:val="22"/>
      </w:rPr>
      <w:instrText xml:space="preserve"> NUMPAGES   \* MERGEFORMAT </w:instrText>
    </w:r>
    <w:r w:rsidR="007D5940">
      <w:rPr>
        <w:noProof/>
        <w:sz w:val="22"/>
      </w:rPr>
      <w:fldChar w:fldCharType="separate"/>
    </w:r>
    <w:r w:rsidR="00D66427">
      <w:rPr>
        <w:noProof/>
        <w:sz w:val="22"/>
      </w:rPr>
      <w:t>6</w:t>
    </w:r>
    <w:r w:rsidR="007D5940">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AC29816"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yUsgA&#10;AADeAAAADwAAAGRycy9kb3ducmV2LnhtbESPT2vCQBTE7wW/w/IEb3VTI1pSVxGJ0INQtX/Oz+wz&#10;Sc2+jdltEr+9Wyj0OMzMb5jFqjeVaKlxpWUFT+MIBHFmdcm5go/37eMzCOeRNVaWScGNHKyWg4cF&#10;Jtp2fKD26HMRIOwSVFB4XydSuqwgg25sa+LgnW1j0AfZ5FI32AW4qeQkimbSYMlhocCaNgVll+OP&#10;UfB1O6fT0+573p5aE7+lXbS/fqZKjYb9+gWEp97/h//ar1pBPJvEc/i9E6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DHJSyAAAAN4AAAAPAAAAAAAAAAAAAAAAAJgCAABk&#10;cnMvZG93bnJldi54bWxQSwUGAAAAAAQABAD1AAAAjQM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7D5940">
      <w:rPr>
        <w:sz w:val="22"/>
      </w:rPr>
      <w:fldChar w:fldCharType="begin"/>
    </w:r>
    <w:r w:rsidR="007D5940">
      <w:rPr>
        <w:sz w:val="22"/>
      </w:rPr>
      <w:instrText xml:space="preserve"> NUMPAGES   \* MERGEFORMAT </w:instrText>
    </w:r>
    <w:r w:rsidR="007D5940">
      <w:rPr>
        <w:sz w:val="22"/>
      </w:rPr>
      <w:fldChar w:fldCharType="separate"/>
    </w:r>
    <w:r w:rsidR="007D5940">
      <w:rPr>
        <w:noProof/>
        <w:sz w:val="22"/>
      </w:rPr>
      <w:t>4</w:t>
    </w:r>
    <w:r w:rsidR="007D5940">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DCA9" w14:textId="77777777" w:rsidR="008D0C34" w:rsidRDefault="008D0C34">
      <w:pPr>
        <w:spacing w:after="0" w:line="240" w:lineRule="auto"/>
      </w:pPr>
      <w:r>
        <w:separator/>
      </w:r>
    </w:p>
  </w:footnote>
  <w:footnote w:type="continuationSeparator" w:id="0">
    <w:p w14:paraId="206F8109" w14:textId="77777777" w:rsidR="008D0C34" w:rsidRDefault="008D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64D0" w14:textId="48CBEB84"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0144A1">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0144A1">
      <w:rPr>
        <w:rFonts w:ascii="Arial" w:eastAsia="Arial" w:hAnsi="Arial" w:cs="Arial"/>
        <w:i/>
        <w:sz w:val="16"/>
        <w:lang w:val="en-US"/>
      </w:rPr>
      <w:t xml:space="preserve"> 5.03.2020</w:t>
    </w:r>
    <w:r w:rsidR="007D5940">
      <w:rPr>
        <w:rFonts w:ascii="Arial" w:eastAsia="Arial" w:hAnsi="Arial" w:cs="Arial"/>
        <w:i/>
        <w:sz w:val="16"/>
        <w:lang w:val="en-US"/>
      </w:rPr>
      <w:t xml:space="preserve"> </w:t>
    </w:r>
    <w:r w:rsidR="000144A1">
      <w:rPr>
        <w:rFonts w:ascii="Arial" w:eastAsia="Arial" w:hAnsi="Arial" w:cs="Arial"/>
        <w:i/>
        <w:sz w:val="16"/>
        <w:lang w:val="en-US"/>
      </w:rPr>
      <w:t>r</w:t>
    </w:r>
    <w:r w:rsidRPr="00CD27EC">
      <w:rPr>
        <w:rFonts w:ascii="Arial" w:eastAsia="Arial" w:hAnsi="Arial" w:cs="Arial"/>
        <w:i/>
        <w:sz w:val="16"/>
        <w:lang w:val="en-US"/>
      </w:rPr>
      <w:t xml:space="preserve">.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Default="009E63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1B10"/>
    <w:multiLevelType w:val="hybridMultilevel"/>
    <w:tmpl w:val="070CAA0E"/>
    <w:lvl w:ilvl="0" w:tplc="4C6E9BB8">
      <w:start w:val="1"/>
      <w:numFmt w:val="decimal"/>
      <w:lvlText w:val="%1."/>
      <w:lvlJc w:val="left"/>
      <w:pPr>
        <w:ind w:left="73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EA3BE">
      <w:start w:val="1"/>
      <w:numFmt w:val="lowerLetter"/>
      <w:lvlText w:val="%2."/>
      <w:lvlJc w:val="left"/>
      <w:pPr>
        <w:ind w:left="14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E7D24">
      <w:start w:val="1"/>
      <w:numFmt w:val="lowerRoman"/>
      <w:lvlText w:val="%3."/>
      <w:lvlJc w:val="left"/>
      <w:pPr>
        <w:ind w:left="216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CE944">
      <w:start w:val="1"/>
      <w:numFmt w:val="decimal"/>
      <w:lvlText w:val="%4."/>
      <w:lvlJc w:val="left"/>
      <w:pPr>
        <w:ind w:left="289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94D06E">
      <w:start w:val="1"/>
      <w:numFmt w:val="lowerLetter"/>
      <w:lvlText w:val="%5."/>
      <w:lvlJc w:val="left"/>
      <w:pPr>
        <w:ind w:left="361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5CD4">
      <w:start w:val="1"/>
      <w:numFmt w:val="lowerRoman"/>
      <w:lvlText w:val="%6."/>
      <w:lvlJc w:val="left"/>
      <w:pPr>
        <w:ind w:left="432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8F716">
      <w:start w:val="1"/>
      <w:numFmt w:val="decimal"/>
      <w:lvlText w:val="%7."/>
      <w:lvlJc w:val="left"/>
      <w:pPr>
        <w:ind w:left="50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4724">
      <w:start w:val="1"/>
      <w:numFmt w:val="lowerLetter"/>
      <w:lvlText w:val="%8."/>
      <w:lvlJc w:val="left"/>
      <w:pPr>
        <w:ind w:left="57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42572">
      <w:start w:val="1"/>
      <w:numFmt w:val="lowerRoman"/>
      <w:lvlText w:val="%9."/>
      <w:lvlJc w:val="left"/>
      <w:pPr>
        <w:ind w:left="648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F356B"/>
    <w:multiLevelType w:val="hybridMultilevel"/>
    <w:tmpl w:val="1902DD0C"/>
    <w:lvl w:ilvl="0" w:tplc="4C6E9BB8">
      <w:start w:val="1"/>
      <w:numFmt w:val="decimal"/>
      <w:lvlText w:val="%1."/>
      <w:lvlJc w:val="left"/>
      <w:pPr>
        <w:ind w:left="73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EA3BE">
      <w:start w:val="1"/>
      <w:numFmt w:val="lowerLetter"/>
      <w:lvlText w:val="%2."/>
      <w:lvlJc w:val="left"/>
      <w:pPr>
        <w:ind w:left="14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E7D24">
      <w:start w:val="1"/>
      <w:numFmt w:val="lowerRoman"/>
      <w:lvlText w:val="%3."/>
      <w:lvlJc w:val="left"/>
      <w:pPr>
        <w:ind w:left="216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CE944">
      <w:start w:val="1"/>
      <w:numFmt w:val="decimal"/>
      <w:lvlText w:val="%4."/>
      <w:lvlJc w:val="left"/>
      <w:pPr>
        <w:ind w:left="289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94D06E">
      <w:start w:val="1"/>
      <w:numFmt w:val="lowerLetter"/>
      <w:lvlText w:val="%5."/>
      <w:lvlJc w:val="left"/>
      <w:pPr>
        <w:ind w:left="361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5CD4">
      <w:start w:val="1"/>
      <w:numFmt w:val="lowerRoman"/>
      <w:lvlText w:val="%6."/>
      <w:lvlJc w:val="left"/>
      <w:pPr>
        <w:ind w:left="432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8F716">
      <w:start w:val="1"/>
      <w:numFmt w:val="decimal"/>
      <w:lvlText w:val="%7."/>
      <w:lvlJc w:val="left"/>
      <w:pPr>
        <w:ind w:left="50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4724">
      <w:start w:val="1"/>
      <w:numFmt w:val="lowerLetter"/>
      <w:lvlText w:val="%8."/>
      <w:lvlJc w:val="left"/>
      <w:pPr>
        <w:ind w:left="57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42572">
      <w:start w:val="1"/>
      <w:numFmt w:val="lowerRoman"/>
      <w:lvlText w:val="%9."/>
      <w:lvlJc w:val="left"/>
      <w:pPr>
        <w:ind w:left="648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0A2EB3"/>
    <w:multiLevelType w:val="hybridMultilevel"/>
    <w:tmpl w:val="76B8DE56"/>
    <w:lvl w:ilvl="0" w:tplc="B2E486B6">
      <w:start w:val="1"/>
      <w:numFmt w:val="decimal"/>
      <w:lvlText w:val="%1."/>
      <w:lvlJc w:val="left"/>
      <w:pPr>
        <w:ind w:left="72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180D6D"/>
    <w:multiLevelType w:val="hybridMultilevel"/>
    <w:tmpl w:val="A014A722"/>
    <w:lvl w:ilvl="0" w:tplc="5E72B0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2A5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63B0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EF0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8EE0A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563EE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ACFF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C1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1219E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467C0"/>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DA4508"/>
    <w:multiLevelType w:val="hybridMultilevel"/>
    <w:tmpl w:val="ED022AE0"/>
    <w:lvl w:ilvl="0" w:tplc="4C6E9BB8">
      <w:start w:val="1"/>
      <w:numFmt w:val="decimal"/>
      <w:lvlText w:val="%1."/>
      <w:lvlJc w:val="left"/>
      <w:pPr>
        <w:ind w:left="73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EA3BE">
      <w:start w:val="1"/>
      <w:numFmt w:val="lowerLetter"/>
      <w:lvlText w:val="%2."/>
      <w:lvlJc w:val="left"/>
      <w:pPr>
        <w:ind w:left="14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E7D24">
      <w:start w:val="1"/>
      <w:numFmt w:val="lowerRoman"/>
      <w:lvlText w:val="%3."/>
      <w:lvlJc w:val="left"/>
      <w:pPr>
        <w:ind w:left="216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CE944">
      <w:start w:val="1"/>
      <w:numFmt w:val="decimal"/>
      <w:lvlText w:val="%4."/>
      <w:lvlJc w:val="left"/>
      <w:pPr>
        <w:ind w:left="289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94D06E">
      <w:start w:val="1"/>
      <w:numFmt w:val="lowerLetter"/>
      <w:lvlText w:val="%5."/>
      <w:lvlJc w:val="left"/>
      <w:pPr>
        <w:ind w:left="361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5CD4">
      <w:start w:val="1"/>
      <w:numFmt w:val="lowerRoman"/>
      <w:lvlText w:val="%6."/>
      <w:lvlJc w:val="left"/>
      <w:pPr>
        <w:ind w:left="432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8F716">
      <w:start w:val="1"/>
      <w:numFmt w:val="decimal"/>
      <w:lvlText w:val="%7."/>
      <w:lvlJc w:val="left"/>
      <w:pPr>
        <w:ind w:left="505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4724">
      <w:start w:val="1"/>
      <w:numFmt w:val="lowerLetter"/>
      <w:lvlText w:val="%8."/>
      <w:lvlJc w:val="left"/>
      <w:pPr>
        <w:ind w:left="57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42572">
      <w:start w:val="1"/>
      <w:numFmt w:val="lowerRoman"/>
      <w:lvlText w:val="%9."/>
      <w:lvlJc w:val="left"/>
      <w:pPr>
        <w:ind w:left="6489" w:hanging="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1"/>
  </w:num>
  <w:num w:numId="4">
    <w:abstractNumId w:val="2"/>
  </w:num>
  <w:num w:numId="5">
    <w:abstractNumId w:val="0"/>
  </w:num>
  <w:num w:numId="6">
    <w:abstractNumId w:val="7"/>
  </w:num>
  <w:num w:numId="7">
    <w:abstractNumId w:val="3"/>
  </w:num>
  <w:num w:numId="8">
    <w:abstractNumId w:val="4"/>
  </w:num>
  <w:num w:numId="9">
    <w:abstractNumId w:val="4"/>
    <w:lvlOverride w:ilvl="0">
      <w:lvl w:ilvl="0" w:tplc="5E72B0B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92A56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A63B00">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BEF0B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8EE0A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563EE8">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ACFFC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CC1C4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D1219E0">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MjMyAJEGBqaGSjpKwanFxZn5eSAFRrUAww15FCwAAAA="/>
  </w:docVars>
  <w:rsids>
    <w:rsidRoot w:val="006C524C"/>
    <w:rsid w:val="00002CB0"/>
    <w:rsid w:val="00003B0E"/>
    <w:rsid w:val="00004687"/>
    <w:rsid w:val="000144A1"/>
    <w:rsid w:val="00014630"/>
    <w:rsid w:val="00042B01"/>
    <w:rsid w:val="000561A5"/>
    <w:rsid w:val="00085E74"/>
    <w:rsid w:val="000A61A5"/>
    <w:rsid w:val="000C639F"/>
    <w:rsid w:val="000E7357"/>
    <w:rsid w:val="00133592"/>
    <w:rsid w:val="00141A71"/>
    <w:rsid w:val="00160769"/>
    <w:rsid w:val="00181CEC"/>
    <w:rsid w:val="001835B6"/>
    <w:rsid w:val="00193132"/>
    <w:rsid w:val="001B7A93"/>
    <w:rsid w:val="001C78B8"/>
    <w:rsid w:val="001E63CB"/>
    <w:rsid w:val="001F028B"/>
    <w:rsid w:val="00204148"/>
    <w:rsid w:val="002066C4"/>
    <w:rsid w:val="002170B2"/>
    <w:rsid w:val="002453B1"/>
    <w:rsid w:val="002657F8"/>
    <w:rsid w:val="002F3B26"/>
    <w:rsid w:val="0035040A"/>
    <w:rsid w:val="003B38FA"/>
    <w:rsid w:val="004007F3"/>
    <w:rsid w:val="00417C37"/>
    <w:rsid w:val="00422398"/>
    <w:rsid w:val="00427F40"/>
    <w:rsid w:val="00435422"/>
    <w:rsid w:val="00436457"/>
    <w:rsid w:val="004448F5"/>
    <w:rsid w:val="004678A7"/>
    <w:rsid w:val="00470E8F"/>
    <w:rsid w:val="00476558"/>
    <w:rsid w:val="00477321"/>
    <w:rsid w:val="004808E4"/>
    <w:rsid w:val="004B7144"/>
    <w:rsid w:val="00521FFA"/>
    <w:rsid w:val="005944D4"/>
    <w:rsid w:val="0059677A"/>
    <w:rsid w:val="00605BE5"/>
    <w:rsid w:val="00633237"/>
    <w:rsid w:val="006354A3"/>
    <w:rsid w:val="0064087A"/>
    <w:rsid w:val="00673EC8"/>
    <w:rsid w:val="006A442B"/>
    <w:rsid w:val="006B012B"/>
    <w:rsid w:val="006B2EFD"/>
    <w:rsid w:val="006B5A5A"/>
    <w:rsid w:val="006C524C"/>
    <w:rsid w:val="006D018B"/>
    <w:rsid w:val="006D6C67"/>
    <w:rsid w:val="007111DF"/>
    <w:rsid w:val="007164A8"/>
    <w:rsid w:val="00724BB4"/>
    <w:rsid w:val="00724F33"/>
    <w:rsid w:val="00732CF5"/>
    <w:rsid w:val="007766DD"/>
    <w:rsid w:val="00792FD5"/>
    <w:rsid w:val="007A3671"/>
    <w:rsid w:val="007C6AED"/>
    <w:rsid w:val="007D5940"/>
    <w:rsid w:val="00830B02"/>
    <w:rsid w:val="00861D21"/>
    <w:rsid w:val="00893A43"/>
    <w:rsid w:val="008A10BF"/>
    <w:rsid w:val="008A2F0E"/>
    <w:rsid w:val="008D0C34"/>
    <w:rsid w:val="008E592D"/>
    <w:rsid w:val="00900EC6"/>
    <w:rsid w:val="00901188"/>
    <w:rsid w:val="009339CB"/>
    <w:rsid w:val="009B62DF"/>
    <w:rsid w:val="009E635F"/>
    <w:rsid w:val="009F6016"/>
    <w:rsid w:val="00A03E7F"/>
    <w:rsid w:val="00A3096F"/>
    <w:rsid w:val="00A42ACC"/>
    <w:rsid w:val="00A63CE6"/>
    <w:rsid w:val="00A71DD0"/>
    <w:rsid w:val="00A8216C"/>
    <w:rsid w:val="00AC6F83"/>
    <w:rsid w:val="00AD2F54"/>
    <w:rsid w:val="00B30E3F"/>
    <w:rsid w:val="00B463A3"/>
    <w:rsid w:val="00B5341A"/>
    <w:rsid w:val="00B5568B"/>
    <w:rsid w:val="00B8221A"/>
    <w:rsid w:val="00B93718"/>
    <w:rsid w:val="00BB23E6"/>
    <w:rsid w:val="00BF2E2D"/>
    <w:rsid w:val="00BF74E9"/>
    <w:rsid w:val="00BF7BFD"/>
    <w:rsid w:val="00C01834"/>
    <w:rsid w:val="00C22572"/>
    <w:rsid w:val="00C23317"/>
    <w:rsid w:val="00C24D59"/>
    <w:rsid w:val="00C30EF1"/>
    <w:rsid w:val="00C92ECE"/>
    <w:rsid w:val="00C93738"/>
    <w:rsid w:val="00CA3ACF"/>
    <w:rsid w:val="00D069B2"/>
    <w:rsid w:val="00D320E0"/>
    <w:rsid w:val="00D56CEB"/>
    <w:rsid w:val="00D66427"/>
    <w:rsid w:val="00D928FC"/>
    <w:rsid w:val="00D93A54"/>
    <w:rsid w:val="00DF679B"/>
    <w:rsid w:val="00E53696"/>
    <w:rsid w:val="00E55362"/>
    <w:rsid w:val="00E6064C"/>
    <w:rsid w:val="00E817B4"/>
    <w:rsid w:val="00EB2991"/>
    <w:rsid w:val="00EB4E6F"/>
    <w:rsid w:val="00EE6DD6"/>
    <w:rsid w:val="00F016D9"/>
    <w:rsid w:val="00F403C0"/>
    <w:rsid w:val="00FC2D6C"/>
    <w:rsid w:val="00FD4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A231FAA5-E5A4-4425-ABFF-8EAD6AEF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paragraph" w:styleId="Nagwek4">
    <w:name w:val="heading 4"/>
    <w:basedOn w:val="Normalny"/>
    <w:next w:val="Normalny"/>
    <w:link w:val="Nagwek4Znak"/>
    <w:uiPriority w:val="9"/>
    <w:semiHidden/>
    <w:unhideWhenUsed/>
    <w:qFormat/>
    <w:rsid w:val="00893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semiHidden/>
    <w:rsid w:val="00893A43"/>
    <w:rPr>
      <w:rFonts w:asciiTheme="majorHAnsi" w:eastAsiaTheme="majorEastAsia" w:hAnsiTheme="majorHAnsi" w:cstheme="majorBidi"/>
      <w:i/>
      <w:iCs/>
      <w:color w:val="2F5496" w:themeColor="accent1" w:themeShade="BF"/>
      <w:sz w:val="18"/>
    </w:rPr>
  </w:style>
  <w:style w:type="paragraph" w:customStyle="1" w:styleId="Tre">
    <w:name w:val="Treść"/>
    <w:rsid w:val="00D6642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3D72-73C1-4495-95FD-0AC2C220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6107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wum</cp:lastModifiedBy>
  <cp:revision>2</cp:revision>
  <cp:lastPrinted>2020-03-06T08:52:00Z</cp:lastPrinted>
  <dcterms:created xsi:type="dcterms:W3CDTF">2021-02-26T07:31:00Z</dcterms:created>
  <dcterms:modified xsi:type="dcterms:W3CDTF">2021-02-26T07:31:00Z</dcterms:modified>
</cp:coreProperties>
</file>